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chart2.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harts/colors1.xml" ContentType="application/vnd.ms-office.chartcolorstyle+xml"/>
  <Override PartName="/word/charts/style1.xml" ContentType="application/vnd.ms-office.chartsty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716E1CF" w14:textId="77777777" w:rsidR="009239B4" w:rsidRPr="009239B4" w:rsidRDefault="009239B4" w:rsidP="00FD121A">
      <w:pPr>
        <w:contextualSpacing/>
      </w:pPr>
      <w:r w:rsidRPr="009239B4">
        <w:rPr>
          <w:i/>
          <w:iCs/>
        </w:rPr>
        <w:t>The Logic of American Politics</w:t>
      </w:r>
      <w:r w:rsidRPr="009239B4">
        <w:t>, 7th Edition</w:t>
      </w:r>
    </w:p>
    <w:p w14:paraId="03E1862A" w14:textId="77777777" w:rsidR="009239B4" w:rsidRPr="009239B4" w:rsidRDefault="009239B4" w:rsidP="00FD121A">
      <w:pPr>
        <w:contextualSpacing/>
      </w:pPr>
      <w:r w:rsidRPr="009239B4">
        <w:t>Samuel Kernell, Gary C. Jacobson, Thad Kousser, and Lynn Vavreck</w:t>
      </w:r>
    </w:p>
    <w:p w14:paraId="163EDB7A" w14:textId="7E2BFD3D" w:rsidR="009239B4" w:rsidRDefault="009239B4" w:rsidP="00FD121A">
      <w:pPr>
        <w:contextualSpacing/>
      </w:pPr>
      <w:r w:rsidRPr="009239B4">
        <w:t>Dat</w:t>
      </w:r>
      <w:r w:rsidR="00FD121A">
        <w:t xml:space="preserve">a Literacy Exercises: Chapter </w:t>
      </w:r>
      <w:r>
        <w:t>8</w:t>
      </w:r>
    </w:p>
    <w:p w14:paraId="789F1620" w14:textId="77777777" w:rsidR="00FD121A" w:rsidRDefault="00FD121A" w:rsidP="00FD121A">
      <w:pPr>
        <w:contextualSpacing/>
      </w:pPr>
    </w:p>
    <w:p w14:paraId="08C56557" w14:textId="04768867" w:rsidR="00716040" w:rsidRDefault="00716040" w:rsidP="00FD121A">
      <w:pPr>
        <w:contextualSpacing/>
      </w:pPr>
      <w:r>
        <w:t>Figures 8-1, 8-2, 8-3</w:t>
      </w:r>
    </w:p>
    <w:p w14:paraId="15874B19" w14:textId="0AA53341" w:rsidR="009239B4" w:rsidRDefault="009239B4" w:rsidP="00FD121A">
      <w:pPr>
        <w:contextualSpacing/>
      </w:pPr>
      <w:r>
        <w:rPr>
          <w:noProof/>
        </w:rPr>
        <w:drawing>
          <wp:inline distT="0" distB="0" distL="0" distR="0" wp14:anchorId="7C88FD9A" wp14:editId="27070A77">
            <wp:extent cx="5943600" cy="3534205"/>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3534205"/>
                    </a:xfrm>
                    <a:prstGeom prst="rect">
                      <a:avLst/>
                    </a:prstGeom>
                    <a:noFill/>
                    <a:ln>
                      <a:noFill/>
                    </a:ln>
                  </pic:spPr>
                </pic:pic>
              </a:graphicData>
            </a:graphic>
          </wp:inline>
        </w:drawing>
      </w:r>
    </w:p>
    <w:p w14:paraId="54294BD3" w14:textId="6163DA4B" w:rsidR="009239B4" w:rsidRDefault="009239B4" w:rsidP="00FD121A">
      <w:pPr>
        <w:contextualSpacing/>
      </w:pPr>
      <w:r>
        <w:rPr>
          <w:noProof/>
        </w:rPr>
        <w:drawing>
          <wp:inline distT="0" distB="0" distL="0" distR="0" wp14:anchorId="00F2D891" wp14:editId="79E70DB1">
            <wp:extent cx="5943600" cy="3508641"/>
            <wp:effectExtent l="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43600" cy="3508641"/>
                    </a:xfrm>
                    <a:prstGeom prst="rect">
                      <a:avLst/>
                    </a:prstGeom>
                    <a:noFill/>
                    <a:ln>
                      <a:noFill/>
                    </a:ln>
                  </pic:spPr>
                </pic:pic>
              </a:graphicData>
            </a:graphic>
          </wp:inline>
        </w:drawing>
      </w:r>
    </w:p>
    <w:p w14:paraId="30052D26" w14:textId="393D3432" w:rsidR="009239B4" w:rsidRDefault="009239B4" w:rsidP="00FD121A">
      <w:pPr>
        <w:contextualSpacing/>
      </w:pPr>
      <w:r>
        <w:rPr>
          <w:noProof/>
        </w:rPr>
        <w:lastRenderedPageBreak/>
        <w:drawing>
          <wp:inline distT="0" distB="0" distL="0" distR="0" wp14:anchorId="68749104" wp14:editId="71AACCB4">
            <wp:extent cx="5943600" cy="3480888"/>
            <wp:effectExtent l="0" t="0" r="0" b="0"/>
            <wp:docPr id="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3600" cy="3480888"/>
                    </a:xfrm>
                    <a:prstGeom prst="rect">
                      <a:avLst/>
                    </a:prstGeom>
                    <a:noFill/>
                    <a:ln>
                      <a:noFill/>
                    </a:ln>
                  </pic:spPr>
                </pic:pic>
              </a:graphicData>
            </a:graphic>
          </wp:inline>
        </w:drawing>
      </w:r>
    </w:p>
    <w:p w14:paraId="24BA12D5" w14:textId="7FB5404F" w:rsidR="00716040" w:rsidRDefault="00716040" w:rsidP="00FD121A">
      <w:pPr>
        <w:contextualSpacing/>
      </w:pPr>
      <w:r w:rsidRPr="00203366">
        <w:rPr>
          <w:b/>
        </w:rPr>
        <w:t>Learning Objectives:</w:t>
      </w:r>
      <w:r w:rsidR="00203366">
        <w:rPr>
          <w:b/>
        </w:rPr>
        <w:t xml:space="preserve"> </w:t>
      </w:r>
      <w:r w:rsidR="00203366">
        <w:t xml:space="preserve">8.1 </w:t>
      </w:r>
      <w:proofErr w:type="gramStart"/>
      <w:r w:rsidRPr="00716040">
        <w:t>Describe</w:t>
      </w:r>
      <w:proofErr w:type="gramEnd"/>
      <w:r w:rsidRPr="00716040">
        <w:t xml:space="preserve"> the development of the federal bureaucracy over time.</w:t>
      </w:r>
      <w:r w:rsidR="00203366">
        <w:t xml:space="preserve"> 8.2 </w:t>
      </w:r>
      <w:r w:rsidRPr="00716040">
        <w:t>Relate when the federal government grows most quickly, and why.</w:t>
      </w:r>
    </w:p>
    <w:p w14:paraId="68079621" w14:textId="77777777" w:rsidR="00716040" w:rsidRDefault="00716040" w:rsidP="00FD121A">
      <w:pPr>
        <w:contextualSpacing/>
      </w:pPr>
    </w:p>
    <w:p w14:paraId="0D5E627D" w14:textId="77777777" w:rsidR="00203366" w:rsidRDefault="00203366" w:rsidP="00203366">
      <w:r>
        <w:t>As the Figures in Chapter 8 indicate, we can gain different assessments of the growth of the federal bureaucracy depending on how that growth is measured.  By any measure, federal civilian employment grew in the 20</w:t>
      </w:r>
      <w:r w:rsidRPr="00716040">
        <w:rPr>
          <w:vertAlign w:val="superscript"/>
        </w:rPr>
        <w:t>th</w:t>
      </w:r>
      <w:r>
        <w:t xml:space="preserve"> century, reaching historic highs during WWII (defense employment obviously also reached its peak then).  After the downturn following the war, the number of civilian employees grew through the next several decades before declining in the 1990s, although not back down to post war levels (8-1).  The U.S. population also grew during this period and, as a proportion of the population (indicated by employees per 1,000 </w:t>
      </w:r>
      <w:proofErr w:type="gramStart"/>
      <w:r>
        <w:t>population</w:t>
      </w:r>
      <w:proofErr w:type="gramEnd"/>
      <w:r>
        <w:t>), federal civilian employment actually dropped or, to be more precise, did not keep up with population growth (8-2).</w:t>
      </w:r>
    </w:p>
    <w:p w14:paraId="78F515EC" w14:textId="77777777" w:rsidR="00203366" w:rsidRDefault="00203366" w:rsidP="00203366">
      <w:r>
        <w:t xml:space="preserve">Government regulation has not decreased.  One indicator, the number of pages of regulations in the Federal Register, has grown dramatically since the 1960s.  Many of these regulations are carried out by nonfederal employees—states, localities and private contractors (8-3).  One other way to measure the size of the federal government is by chronicling how much is spent.  As with Figures 8-1 and 8-2, determining how much the budget has grown is again premised on how we measure budgets.  The following figure depicts the growth in the federal budget (all categories including defense), but does so in different ways.  </w:t>
      </w:r>
    </w:p>
    <w:p w14:paraId="6D56E7A2" w14:textId="77777777" w:rsidR="00203366" w:rsidRDefault="00203366" w:rsidP="00203366">
      <w:r>
        <w:t xml:space="preserve">By most measures, federal expenditures have gone up in the postwar period, but how much is different based upon whether or not we make some form of adjustment to the figures.  After WWII, actual federal outlays increased almost yearly (blue line), steeply advancing after 1970 until leveling off after 2010.  The costs of goods and services, of course, also went up during this time period.  Adjusting for inflation (orange line), we still notice an increase, but not as dramatic as without that adjustment.  </w:t>
      </w:r>
    </w:p>
    <w:p w14:paraId="3A011715" w14:textId="77777777" w:rsidR="00203366" w:rsidRDefault="00203366" w:rsidP="00203366">
      <w:r>
        <w:lastRenderedPageBreak/>
        <w:t>The nation’s gross domestic product (the aggregate of all goods and services produced) increased dramatically during this period. As a percentage of GDP, the growth in federal spending has basically been level (green line)</w:t>
      </w:r>
      <w:proofErr w:type="gramStart"/>
      <w:r>
        <w:t>,</w:t>
      </w:r>
      <w:proofErr w:type="gramEnd"/>
      <w:r>
        <w:t xml:space="preserve"> although even a difference of one or two percentage points can influence other economic factors.  But basically, federal spending has just kept up with the nation’s overall, economic growth.  In 2014, federal outlays constituted 20.3 per cent of GDP, not far above the post war mean average of 19.3%.  One measure, however, does demonstrate growth.  The outlays per capita, even adjusted for inflation, have grown fairly consistently between 1947 ($2,746) and 2011 ($12,111). </w:t>
      </w:r>
    </w:p>
    <w:p w14:paraId="2CAD4FBB" w14:textId="4E292719" w:rsidR="00942273" w:rsidRDefault="00203366" w:rsidP="00FD121A">
      <w:proofErr w:type="gramStart"/>
      <w:r>
        <w:t>Moral of the story?</w:t>
      </w:r>
      <w:proofErr w:type="gramEnd"/>
      <w:r>
        <w:t xml:space="preserve">  Different organizations may use different growth measures to suit their ideological agenda.  </w:t>
      </w:r>
    </w:p>
    <w:p w14:paraId="410F5F89" w14:textId="6A541E06" w:rsidR="00942273" w:rsidRDefault="00942273" w:rsidP="00FD121A">
      <w:pPr>
        <w:contextualSpacing/>
        <w:jc w:val="center"/>
      </w:pPr>
      <w:r>
        <w:rPr>
          <w:noProof/>
        </w:rPr>
        <w:drawing>
          <wp:inline distT="0" distB="0" distL="0" distR="0" wp14:anchorId="3810C112" wp14:editId="6D8E4DB4">
            <wp:extent cx="4567555" cy="3400425"/>
            <wp:effectExtent l="0" t="0" r="4445" b="9525"/>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452FEAF8" w14:textId="06057850" w:rsidR="00FA73BF" w:rsidRDefault="00FA73BF" w:rsidP="00FD121A">
      <w:pPr>
        <w:contextualSpacing/>
      </w:pPr>
      <w:r w:rsidRPr="00FA73BF">
        <w:t xml:space="preserve">Sources:  </w:t>
      </w:r>
      <w:r>
        <w:t xml:space="preserve">Total outlays and outlays as a percent of GDP were derived from data from the Office of Management and Budget (OMB), “Historical tables,” Table 1.3, </w:t>
      </w:r>
      <w:hyperlink r:id="rId9" w:history="1">
        <w:r w:rsidRPr="00A23084">
          <w:rPr>
            <w:rStyle w:val="Hyperlink"/>
          </w:rPr>
          <w:t>https://www.whitehouse.gov/omb/budget/Historicals</w:t>
        </w:r>
      </w:hyperlink>
      <w:r>
        <w:t>.</w:t>
      </w:r>
    </w:p>
    <w:p w14:paraId="5381C9FA" w14:textId="545A2222" w:rsidR="00FA73BF" w:rsidRDefault="00FA73BF" w:rsidP="00FD121A">
      <w:pPr>
        <w:spacing w:after="0"/>
        <w:contextualSpacing/>
      </w:pPr>
      <w:r>
        <w:t xml:space="preserve">Outlays per capita were developed by George Mason University: </w:t>
      </w:r>
      <w:proofErr w:type="spellStart"/>
      <w:r>
        <w:t>Mercatus</w:t>
      </w:r>
      <w:proofErr w:type="spellEnd"/>
      <w:r>
        <w:t xml:space="preserve"> Center</w:t>
      </w:r>
    </w:p>
    <w:p w14:paraId="6E6B716D" w14:textId="3C647321" w:rsidR="00FA73BF" w:rsidRDefault="00203366" w:rsidP="00FD121A">
      <w:pPr>
        <w:spacing w:after="0"/>
        <w:contextualSpacing/>
      </w:pPr>
      <w:hyperlink r:id="rId10" w:history="1">
        <w:r w:rsidR="00FA73BF" w:rsidRPr="00A23084">
          <w:rPr>
            <w:rStyle w:val="Hyperlink"/>
          </w:rPr>
          <w:t>http://mercatus.org/publication/rise-capita-federal-spending</w:t>
        </w:r>
      </w:hyperlink>
      <w:r w:rsidR="00FA73BF">
        <w:t>.  Figures are for 1945-2014 only.</w:t>
      </w:r>
    </w:p>
    <w:p w14:paraId="4B69FEE5" w14:textId="77777777" w:rsidR="00FA73BF" w:rsidRDefault="00FA73BF" w:rsidP="00FD121A">
      <w:pPr>
        <w:spacing w:after="0"/>
        <w:contextualSpacing/>
      </w:pPr>
    </w:p>
    <w:p w14:paraId="2C852E65" w14:textId="77777777" w:rsidR="00203366" w:rsidRDefault="00203366" w:rsidP="00203366">
      <w:pPr>
        <w:spacing w:after="0"/>
      </w:pPr>
      <w:r>
        <w:t>Incidentally, alth</w:t>
      </w:r>
      <w:r w:rsidRPr="00203366">
        <w:t>ough there has been growth in federal non-defense civilian employment since the end of World War II, civilian growth within the Department of Defense has actually been negative.  Combined, the positive and negative growth has pretty much canceled each other out, indicating a much more consistent federal civilian employment force over tim</w:t>
      </w:r>
      <w:r>
        <w:t>e.</w:t>
      </w:r>
    </w:p>
    <w:p w14:paraId="2D7F8844" w14:textId="77777777" w:rsidR="00FA73BF" w:rsidRDefault="00FA73BF" w:rsidP="00FD121A">
      <w:pPr>
        <w:spacing w:after="0"/>
        <w:contextualSpacing/>
      </w:pPr>
    </w:p>
    <w:p w14:paraId="627A8E69" w14:textId="3AECCE42" w:rsidR="005C0C29" w:rsidRDefault="005C0C29" w:rsidP="00FD121A">
      <w:pPr>
        <w:spacing w:after="0"/>
        <w:contextualSpacing/>
        <w:jc w:val="center"/>
      </w:pPr>
      <w:r>
        <w:rPr>
          <w:noProof/>
        </w:rPr>
        <w:lastRenderedPageBreak/>
        <w:drawing>
          <wp:inline distT="0" distB="0" distL="0" distR="0" wp14:anchorId="48F3350C" wp14:editId="65DB5ED7">
            <wp:extent cx="4572000" cy="3190875"/>
            <wp:effectExtent l="0" t="0" r="0" b="9525"/>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2BD2394B" w14:textId="77777777" w:rsidR="005C0C29" w:rsidRDefault="005C0C29" w:rsidP="00FD121A">
      <w:pPr>
        <w:spacing w:after="0"/>
        <w:contextualSpacing/>
        <w:jc w:val="center"/>
      </w:pPr>
    </w:p>
    <w:p w14:paraId="671E5E8F" w14:textId="433161E0" w:rsidR="005C0C29" w:rsidRDefault="005C0C29" w:rsidP="00FD121A">
      <w:pPr>
        <w:contextualSpacing/>
        <w:rPr>
          <w:rFonts w:ascii="Calibri" w:eastAsia="Times New Roman" w:hAnsi="Calibri" w:cs="Times New Roman"/>
          <w:color w:val="000000"/>
        </w:rPr>
      </w:pPr>
      <w:r>
        <w:t xml:space="preserve">Source: U.S. Office of Personnel Management: </w:t>
      </w:r>
      <w:hyperlink r:id="rId12" w:history="1">
        <w:r w:rsidRPr="00A23084">
          <w:rPr>
            <w:rStyle w:val="Hyperlink"/>
            <w:rFonts w:ascii="Calibri" w:eastAsia="Times New Roman" w:hAnsi="Calibri" w:cs="Times New Roman"/>
          </w:rPr>
          <w:t>http://www.opm.gov/policy-data-oversight/data-analysis-documentation/federal-employment-reports/historical-tables/executive-branch-civilian-employment-since-1940/</w:t>
        </w:r>
      </w:hyperlink>
      <w:r>
        <w:rPr>
          <w:rFonts w:ascii="Calibri" w:eastAsia="Times New Roman" w:hAnsi="Calibri" w:cs="Times New Roman"/>
          <w:color w:val="000000"/>
        </w:rPr>
        <w:t>.</w:t>
      </w:r>
    </w:p>
    <w:p w14:paraId="148E6BB8" w14:textId="77777777" w:rsidR="005C0C29" w:rsidRPr="005C0C29" w:rsidRDefault="005C0C29" w:rsidP="00FD121A">
      <w:pPr>
        <w:contextualSpacing/>
        <w:rPr>
          <w:rFonts w:ascii="Calibri" w:eastAsia="Times New Roman" w:hAnsi="Calibri" w:cs="Times New Roman"/>
          <w:color w:val="000000"/>
        </w:rPr>
      </w:pPr>
    </w:p>
    <w:p w14:paraId="20610B52" w14:textId="7281C669" w:rsidR="00203366" w:rsidRPr="00203366" w:rsidRDefault="00203366" w:rsidP="00FD121A">
      <w:pPr>
        <w:spacing w:after="0"/>
        <w:contextualSpacing/>
        <w:rPr>
          <w:b/>
        </w:rPr>
      </w:pPr>
      <w:r w:rsidRPr="00203366">
        <w:rPr>
          <w:b/>
        </w:rPr>
        <w:t>Questions to Consider:</w:t>
      </w:r>
    </w:p>
    <w:p w14:paraId="45FC136B" w14:textId="77777777" w:rsidR="00203366" w:rsidRDefault="00203366" w:rsidP="00FD121A">
      <w:pPr>
        <w:spacing w:after="0"/>
        <w:contextualSpacing/>
      </w:pPr>
    </w:p>
    <w:p w14:paraId="35419713" w14:textId="77A5A27A" w:rsidR="005C0C29" w:rsidRDefault="00203366" w:rsidP="00FD121A">
      <w:pPr>
        <w:spacing w:after="0"/>
        <w:contextualSpacing/>
      </w:pPr>
      <w:r>
        <w:t xml:space="preserve">1. </w:t>
      </w:r>
      <w:r w:rsidR="005C0C29">
        <w:t>Based on Figures 8-1 and 8-2, which of the following statements is most true?</w:t>
      </w:r>
    </w:p>
    <w:p w14:paraId="4539B6F7" w14:textId="6A00C296" w:rsidR="005C0C29" w:rsidRDefault="00203366" w:rsidP="00FD121A">
      <w:pPr>
        <w:spacing w:after="0"/>
        <w:contextualSpacing/>
      </w:pPr>
      <w:r>
        <w:t xml:space="preserve">a. </w:t>
      </w:r>
      <w:r w:rsidR="005C0C29">
        <w:t xml:space="preserve">After WWII, both the number of federal civilian employees and the number per 1000 </w:t>
      </w:r>
      <w:r w:rsidR="005C0C29">
        <w:tab/>
        <w:t>population have increased.</w:t>
      </w:r>
    </w:p>
    <w:p w14:paraId="2CB1224B" w14:textId="4B34904F" w:rsidR="005C0C29" w:rsidRDefault="00203366" w:rsidP="00FD121A">
      <w:pPr>
        <w:spacing w:after="0"/>
        <w:contextualSpacing/>
      </w:pPr>
      <w:proofErr w:type="gramStart"/>
      <w:r>
        <w:t>*b.</w:t>
      </w:r>
      <w:proofErr w:type="gramEnd"/>
      <w:r>
        <w:t xml:space="preserve"> </w:t>
      </w:r>
      <w:r w:rsidR="005C0C29" w:rsidRPr="009239B4">
        <w:t xml:space="preserve">After WWII, the number of federal civilian employees often increased but the number per </w:t>
      </w:r>
      <w:r w:rsidR="005C0C29" w:rsidRPr="009239B4">
        <w:tab/>
        <w:t>1000 population usually decreased.</w:t>
      </w:r>
    </w:p>
    <w:p w14:paraId="32EFB79E" w14:textId="49C54105" w:rsidR="005C0C29" w:rsidRDefault="00203366" w:rsidP="00FD121A">
      <w:pPr>
        <w:spacing w:after="0"/>
        <w:contextualSpacing/>
      </w:pPr>
      <w:r>
        <w:t xml:space="preserve">c. </w:t>
      </w:r>
      <w:r w:rsidR="005C0C29">
        <w:t xml:space="preserve">After WWII, both the number of federal civilian employees and the number per 1000 </w:t>
      </w:r>
      <w:r w:rsidR="005C0C29">
        <w:tab/>
        <w:t>population have decreased.</w:t>
      </w:r>
    </w:p>
    <w:p w14:paraId="59193763" w14:textId="09BC0634" w:rsidR="005C0C29" w:rsidRDefault="00203366" w:rsidP="00FD121A">
      <w:pPr>
        <w:spacing w:after="0"/>
        <w:contextualSpacing/>
      </w:pPr>
      <w:r>
        <w:t xml:space="preserve">d. </w:t>
      </w:r>
      <w:r w:rsidR="005C0C29">
        <w:t xml:space="preserve">After WWII, the number of federal civilian employees has generally decreased but the </w:t>
      </w:r>
      <w:r w:rsidR="005C0C29">
        <w:tab/>
        <w:t>number per 1000 population has increased.</w:t>
      </w:r>
    </w:p>
    <w:p w14:paraId="5020E28B" w14:textId="2ECBBCDD" w:rsidR="005C0C29" w:rsidRDefault="005C0C29" w:rsidP="00FD121A">
      <w:pPr>
        <w:spacing w:after="0"/>
        <w:contextualSpacing/>
      </w:pPr>
    </w:p>
    <w:p w14:paraId="19083F37" w14:textId="0D46B2BD" w:rsidR="005C0C29" w:rsidRDefault="00203366" w:rsidP="00FD121A">
      <w:pPr>
        <w:spacing w:after="0"/>
        <w:contextualSpacing/>
      </w:pPr>
      <w:r>
        <w:t xml:space="preserve">@ Feedback: </w:t>
      </w:r>
      <w:r w:rsidR="005C0C29">
        <w:t>Federal civilian employment generally increased between 1946 and the late 1980s, but not in relation to U.S. population growth.</w:t>
      </w:r>
    </w:p>
    <w:p w14:paraId="42EDDAF1" w14:textId="77777777" w:rsidR="005C0C29" w:rsidRDefault="005C0C29" w:rsidP="00FD121A">
      <w:pPr>
        <w:spacing w:after="0"/>
        <w:contextualSpacing/>
      </w:pPr>
    </w:p>
    <w:p w14:paraId="120886BA" w14:textId="6C43B8D3" w:rsidR="005C0C29" w:rsidRDefault="00203366" w:rsidP="00FD121A">
      <w:pPr>
        <w:spacing w:after="0"/>
        <w:contextualSpacing/>
      </w:pPr>
      <w:r>
        <w:t xml:space="preserve">2. </w:t>
      </w:r>
      <w:r w:rsidR="005C0C29">
        <w:t>Based on Figures 8-1 and 8-2, most of the growth in federal civilian employment occurred in the 20</w:t>
      </w:r>
      <w:r w:rsidR="005C0C29" w:rsidRPr="005C0C29">
        <w:rPr>
          <w:vertAlign w:val="superscript"/>
        </w:rPr>
        <w:t>th</w:t>
      </w:r>
      <w:r w:rsidR="005C0C29">
        <w:t xml:space="preserve"> century.</w:t>
      </w:r>
    </w:p>
    <w:p w14:paraId="50963912" w14:textId="6108AAAB" w:rsidR="005C0C29" w:rsidRDefault="00203366" w:rsidP="00FD121A">
      <w:pPr>
        <w:spacing w:after="0"/>
        <w:contextualSpacing/>
      </w:pPr>
      <w:r>
        <w:t>*a. True</w:t>
      </w:r>
    </w:p>
    <w:p w14:paraId="7D167162" w14:textId="24885BE2" w:rsidR="00203366" w:rsidRDefault="00203366" w:rsidP="00FD121A">
      <w:pPr>
        <w:spacing w:after="0"/>
        <w:contextualSpacing/>
      </w:pPr>
      <w:r>
        <w:t>b. False</w:t>
      </w:r>
    </w:p>
    <w:p w14:paraId="24C67472" w14:textId="77777777" w:rsidR="00203366" w:rsidRDefault="00203366" w:rsidP="00FD121A">
      <w:pPr>
        <w:spacing w:after="0"/>
        <w:contextualSpacing/>
      </w:pPr>
    </w:p>
    <w:p w14:paraId="1233609D" w14:textId="6C6E0DC8" w:rsidR="00C003CE" w:rsidRDefault="00203366" w:rsidP="00FD121A">
      <w:pPr>
        <w:spacing w:after="0"/>
        <w:contextualSpacing/>
      </w:pPr>
      <w:r>
        <w:t xml:space="preserve">@ Feedback: </w:t>
      </w:r>
      <w:r w:rsidR="00C003CE">
        <w:t>By any measure, employment figures for the 20</w:t>
      </w:r>
      <w:r w:rsidR="00C003CE" w:rsidRPr="00C003CE">
        <w:rPr>
          <w:vertAlign w:val="superscript"/>
        </w:rPr>
        <w:t>th</w:t>
      </w:r>
      <w:r w:rsidR="00C003CE">
        <w:t xml:space="preserve"> century, even discounting the rapid increase caused by WWII, is much higher in the 20</w:t>
      </w:r>
      <w:r w:rsidR="00C003CE" w:rsidRPr="00C003CE">
        <w:rPr>
          <w:vertAlign w:val="superscript"/>
        </w:rPr>
        <w:t>th</w:t>
      </w:r>
      <w:r w:rsidR="00C003CE">
        <w:t xml:space="preserve"> century than in the 19</w:t>
      </w:r>
      <w:r w:rsidR="00C003CE" w:rsidRPr="00C003CE">
        <w:rPr>
          <w:vertAlign w:val="superscript"/>
        </w:rPr>
        <w:t>th</w:t>
      </w:r>
      <w:r w:rsidR="00C003CE">
        <w:t xml:space="preserve">.  </w:t>
      </w:r>
    </w:p>
    <w:p w14:paraId="79DE92DE" w14:textId="77777777" w:rsidR="00C003CE" w:rsidRDefault="00C003CE" w:rsidP="00FD121A">
      <w:pPr>
        <w:spacing w:after="0"/>
        <w:contextualSpacing/>
      </w:pPr>
    </w:p>
    <w:p w14:paraId="4F605A3D" w14:textId="55139FBA" w:rsidR="00C003CE" w:rsidRDefault="00203366" w:rsidP="00FD121A">
      <w:pPr>
        <w:spacing w:after="0"/>
        <w:contextualSpacing/>
      </w:pPr>
      <w:r>
        <w:t xml:space="preserve">3. </w:t>
      </w:r>
      <w:r w:rsidR="00C003CE">
        <w:t>Measured by the number of pages in the Federal register (8-3), the steepest increase in the growth of federal regulation occurred during the 1990s.</w:t>
      </w:r>
    </w:p>
    <w:p w14:paraId="1F91CD2E" w14:textId="6D3164F0" w:rsidR="00C003CE" w:rsidRDefault="00203366" w:rsidP="00FD121A">
      <w:pPr>
        <w:spacing w:after="0"/>
        <w:contextualSpacing/>
      </w:pPr>
      <w:r>
        <w:t>a. True</w:t>
      </w:r>
    </w:p>
    <w:p w14:paraId="6CE375F7" w14:textId="1AFA2DB9" w:rsidR="00203366" w:rsidRDefault="00203366" w:rsidP="00FD121A">
      <w:pPr>
        <w:spacing w:after="0"/>
        <w:contextualSpacing/>
      </w:pPr>
      <w:r>
        <w:t>*b. False</w:t>
      </w:r>
    </w:p>
    <w:p w14:paraId="15C04AC9" w14:textId="77777777" w:rsidR="00C003CE" w:rsidRDefault="00C003CE" w:rsidP="00FD121A">
      <w:pPr>
        <w:spacing w:after="0"/>
        <w:contextualSpacing/>
      </w:pPr>
    </w:p>
    <w:p w14:paraId="2A543F9B" w14:textId="0AB8C04B" w:rsidR="00C003CE" w:rsidRDefault="00203366" w:rsidP="00FD121A">
      <w:pPr>
        <w:spacing w:after="0"/>
        <w:contextualSpacing/>
      </w:pPr>
      <w:r>
        <w:t xml:space="preserve">@ Feedback: </w:t>
      </w:r>
      <w:r w:rsidR="00C003CE">
        <w:t>Although growth is evident in the 1990s, it pales in comparison to the 1970s.</w:t>
      </w:r>
    </w:p>
    <w:p w14:paraId="7B635EE7" w14:textId="77777777" w:rsidR="00203366" w:rsidRDefault="00203366" w:rsidP="00FD121A">
      <w:pPr>
        <w:spacing w:after="0"/>
        <w:contextualSpacing/>
      </w:pPr>
    </w:p>
    <w:p w14:paraId="1FD5666B" w14:textId="0B9EC570" w:rsidR="00203366" w:rsidRPr="00203366" w:rsidRDefault="00203366" w:rsidP="00203366">
      <w:pPr>
        <w:rPr>
          <w:b/>
        </w:rPr>
      </w:pPr>
      <w:r w:rsidRPr="00203366">
        <w:rPr>
          <w:b/>
        </w:rPr>
        <w:t>Based on two figures in the analytics write-up</w:t>
      </w:r>
      <w:r w:rsidRPr="00203366">
        <w:rPr>
          <w:b/>
        </w:rPr>
        <w:t>:</w:t>
      </w:r>
    </w:p>
    <w:p w14:paraId="2CA8AD04" w14:textId="77777777" w:rsidR="00203366" w:rsidRDefault="00203366" w:rsidP="00203366">
      <w:pPr>
        <w:spacing w:after="0" w:line="240" w:lineRule="auto"/>
      </w:pPr>
      <w:r>
        <w:t xml:space="preserve">4. </w:t>
      </w:r>
      <w:r>
        <w:t>Which figure offers the poorest evidence for the growth of federal spending post WWII?</w:t>
      </w:r>
    </w:p>
    <w:p w14:paraId="41C0AFB9" w14:textId="18277714" w:rsidR="00203366" w:rsidRDefault="00203366" w:rsidP="00203366">
      <w:pPr>
        <w:spacing w:after="0" w:line="240" w:lineRule="auto"/>
      </w:pPr>
      <w:r>
        <w:t xml:space="preserve">a. </w:t>
      </w:r>
      <w:r>
        <w:t>Total Outlays</w:t>
      </w:r>
    </w:p>
    <w:p w14:paraId="182213B1" w14:textId="5E6A15C9" w:rsidR="00203366" w:rsidRDefault="00203366" w:rsidP="00203366">
      <w:pPr>
        <w:spacing w:after="0" w:line="240" w:lineRule="auto"/>
      </w:pPr>
      <w:r>
        <w:t xml:space="preserve">b. </w:t>
      </w:r>
      <w:r>
        <w:t>Spending Per Capita</w:t>
      </w:r>
    </w:p>
    <w:p w14:paraId="6E5A2BB7" w14:textId="11C6B932" w:rsidR="00203366" w:rsidRDefault="00203366" w:rsidP="00203366">
      <w:pPr>
        <w:spacing w:after="0" w:line="240" w:lineRule="auto"/>
      </w:pPr>
      <w:r>
        <w:t xml:space="preserve">c. </w:t>
      </w:r>
      <w:r>
        <w:t>Total Outlays</w:t>
      </w:r>
    </w:p>
    <w:p w14:paraId="144BF116" w14:textId="050639E0" w:rsidR="00203366" w:rsidRDefault="00203366" w:rsidP="00203366">
      <w:pPr>
        <w:spacing w:after="0" w:line="240" w:lineRule="auto"/>
        <w:rPr>
          <w:b/>
        </w:rPr>
      </w:pPr>
      <w:r>
        <w:t xml:space="preserve">*d. </w:t>
      </w:r>
      <w:r w:rsidRPr="00203366">
        <w:t>%GDP</w:t>
      </w:r>
    </w:p>
    <w:p w14:paraId="4B8DA72D" w14:textId="77777777" w:rsidR="00203366" w:rsidRDefault="00203366" w:rsidP="00203366">
      <w:pPr>
        <w:spacing w:after="0" w:line="240" w:lineRule="auto"/>
      </w:pPr>
    </w:p>
    <w:p w14:paraId="21161518" w14:textId="14533567" w:rsidR="00203366" w:rsidRDefault="00203366" w:rsidP="00203366">
      <w:pPr>
        <w:spacing w:after="0" w:line="240" w:lineRule="auto"/>
      </w:pPr>
      <w:r>
        <w:t xml:space="preserve">@ Feedback: </w:t>
      </w:r>
      <w:r>
        <w:t>Although even small increases in %GDP can represent billions of dollars, federal spending as a %GDP has been the most stable over this time period.  All other measures have increased, especially ‘Per Capita’ expenditures.  If that measure had not been adjusted for inflation, the rise would be even more dramatic.</w:t>
      </w:r>
    </w:p>
    <w:p w14:paraId="24E851A9" w14:textId="77777777" w:rsidR="00203366" w:rsidRDefault="00203366" w:rsidP="00203366">
      <w:pPr>
        <w:spacing w:after="0" w:line="240" w:lineRule="auto"/>
      </w:pPr>
    </w:p>
    <w:p w14:paraId="7A7A823A" w14:textId="016CA6EA" w:rsidR="00203366" w:rsidRDefault="00203366" w:rsidP="00203366">
      <w:pPr>
        <w:spacing w:after="0" w:line="240" w:lineRule="auto"/>
      </w:pPr>
      <w:r>
        <w:t xml:space="preserve">5. </w:t>
      </w:r>
      <w:r>
        <w:t xml:space="preserve">Both defense and non-defense civilian federal </w:t>
      </w:r>
      <w:r>
        <w:t>employment has</w:t>
      </w:r>
      <w:r>
        <w:t xml:space="preserve"> increased since the end of WWII.</w:t>
      </w:r>
    </w:p>
    <w:p w14:paraId="0B3C367F" w14:textId="77777777" w:rsidR="00203366" w:rsidRDefault="00203366" w:rsidP="00203366">
      <w:pPr>
        <w:spacing w:after="0" w:line="240" w:lineRule="auto"/>
      </w:pPr>
      <w:r>
        <w:t>a. True</w:t>
      </w:r>
    </w:p>
    <w:p w14:paraId="438B580F" w14:textId="404C18C7" w:rsidR="00203366" w:rsidRDefault="00203366" w:rsidP="00203366">
      <w:pPr>
        <w:spacing w:after="0" w:line="240" w:lineRule="auto"/>
      </w:pPr>
      <w:r>
        <w:t>*b. False</w:t>
      </w:r>
      <w:r>
        <w:tab/>
      </w:r>
    </w:p>
    <w:p w14:paraId="05A15ADD" w14:textId="77777777" w:rsidR="00203366" w:rsidRPr="002B4E3C" w:rsidRDefault="00203366" w:rsidP="00203366">
      <w:pPr>
        <w:spacing w:after="0" w:line="240" w:lineRule="auto"/>
        <w:rPr>
          <w:b/>
        </w:rPr>
      </w:pPr>
      <w:bookmarkStart w:id="0" w:name="_GoBack"/>
      <w:bookmarkEnd w:id="0"/>
    </w:p>
    <w:p w14:paraId="53BE1B41" w14:textId="425F65DB" w:rsidR="00203366" w:rsidRDefault="00203366" w:rsidP="00203366">
      <w:pPr>
        <w:spacing w:after="0" w:line="240" w:lineRule="auto"/>
      </w:pPr>
      <w:r>
        <w:t xml:space="preserve">@ Feedback: </w:t>
      </w:r>
      <w:r>
        <w:t>With the exception of a few critical periods, defense civilian employment has declined, especially since the 1990s.  Non-defense civilian employment has generally increased.  Of course, civilian employment at the state and local level have increased at a faster rate (see Figure 3-4), much of it do to federal mandates given to the states and localities for administration.</w:t>
      </w:r>
    </w:p>
    <w:p w14:paraId="2E3CBE81" w14:textId="77777777" w:rsidR="00203366" w:rsidRDefault="00203366" w:rsidP="00FD121A">
      <w:pPr>
        <w:spacing w:after="0"/>
        <w:contextualSpacing/>
      </w:pPr>
    </w:p>
    <w:sectPr w:rsidR="00203366">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 w:name="Calibri Light">
    <w:panose1 w:val="020F0302020204030204"/>
    <w:charset w:val="00"/>
    <w:family w:val="swiss"/>
    <w:pitch w:val="variable"/>
    <w:sig w:usb0="A00002EF" w:usb1="4000207B"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D181C"/>
    <w:rsid w:val="00203366"/>
    <w:rsid w:val="003616F8"/>
    <w:rsid w:val="005C0C29"/>
    <w:rsid w:val="006F1756"/>
    <w:rsid w:val="00716040"/>
    <w:rsid w:val="00742702"/>
    <w:rsid w:val="008D181C"/>
    <w:rsid w:val="009239B4"/>
    <w:rsid w:val="00942273"/>
    <w:rsid w:val="009F6CBA"/>
    <w:rsid w:val="00C003CE"/>
    <w:rsid w:val="00F948D5"/>
    <w:rsid w:val="00FA73BF"/>
    <w:rsid w:val="00FD121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C01CE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FA73BF"/>
    <w:rPr>
      <w:color w:val="0563C1" w:themeColor="hyperlink"/>
      <w:u w:val="single"/>
    </w:rPr>
  </w:style>
  <w:style w:type="paragraph" w:styleId="BalloonText">
    <w:name w:val="Balloon Text"/>
    <w:basedOn w:val="Normal"/>
    <w:link w:val="BalloonTextChar"/>
    <w:uiPriority w:val="99"/>
    <w:semiHidden/>
    <w:unhideWhenUsed/>
    <w:rsid w:val="009239B4"/>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239B4"/>
    <w:rPr>
      <w:rFonts w:ascii="Lucida Grande" w:hAnsi="Lucida Grande" w:cs="Lucida Grande"/>
      <w:sz w:val="18"/>
      <w:szCs w:val="18"/>
    </w:rPr>
  </w:style>
  <w:style w:type="character" w:styleId="CommentReference">
    <w:name w:val="annotation reference"/>
    <w:basedOn w:val="DefaultParagraphFont"/>
    <w:uiPriority w:val="99"/>
    <w:semiHidden/>
    <w:unhideWhenUsed/>
    <w:rsid w:val="00203366"/>
    <w:rPr>
      <w:sz w:val="16"/>
      <w:szCs w:val="16"/>
    </w:rPr>
  </w:style>
  <w:style w:type="paragraph" w:styleId="CommentText">
    <w:name w:val="annotation text"/>
    <w:basedOn w:val="Normal"/>
    <w:link w:val="CommentTextChar"/>
    <w:uiPriority w:val="99"/>
    <w:semiHidden/>
    <w:unhideWhenUsed/>
    <w:rsid w:val="00203366"/>
    <w:pPr>
      <w:spacing w:line="240" w:lineRule="auto"/>
    </w:pPr>
    <w:rPr>
      <w:sz w:val="20"/>
      <w:szCs w:val="20"/>
    </w:rPr>
  </w:style>
  <w:style w:type="character" w:customStyle="1" w:styleId="CommentTextChar">
    <w:name w:val="Comment Text Char"/>
    <w:basedOn w:val="DefaultParagraphFont"/>
    <w:link w:val="CommentText"/>
    <w:uiPriority w:val="99"/>
    <w:semiHidden/>
    <w:rsid w:val="00203366"/>
    <w:rPr>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FA73BF"/>
    <w:rPr>
      <w:color w:val="0563C1" w:themeColor="hyperlink"/>
      <w:u w:val="single"/>
    </w:rPr>
  </w:style>
  <w:style w:type="paragraph" w:styleId="BalloonText">
    <w:name w:val="Balloon Text"/>
    <w:basedOn w:val="Normal"/>
    <w:link w:val="BalloonTextChar"/>
    <w:uiPriority w:val="99"/>
    <w:semiHidden/>
    <w:unhideWhenUsed/>
    <w:rsid w:val="009239B4"/>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239B4"/>
    <w:rPr>
      <w:rFonts w:ascii="Lucida Grande" w:hAnsi="Lucida Grande" w:cs="Lucida Grande"/>
      <w:sz w:val="18"/>
      <w:szCs w:val="18"/>
    </w:rPr>
  </w:style>
  <w:style w:type="character" w:styleId="CommentReference">
    <w:name w:val="annotation reference"/>
    <w:basedOn w:val="DefaultParagraphFont"/>
    <w:uiPriority w:val="99"/>
    <w:semiHidden/>
    <w:unhideWhenUsed/>
    <w:rsid w:val="00203366"/>
    <w:rPr>
      <w:sz w:val="16"/>
      <w:szCs w:val="16"/>
    </w:rPr>
  </w:style>
  <w:style w:type="paragraph" w:styleId="CommentText">
    <w:name w:val="annotation text"/>
    <w:basedOn w:val="Normal"/>
    <w:link w:val="CommentTextChar"/>
    <w:uiPriority w:val="99"/>
    <w:semiHidden/>
    <w:unhideWhenUsed/>
    <w:rsid w:val="00203366"/>
    <w:pPr>
      <w:spacing w:line="240" w:lineRule="auto"/>
    </w:pPr>
    <w:rPr>
      <w:sz w:val="20"/>
      <w:szCs w:val="20"/>
    </w:rPr>
  </w:style>
  <w:style w:type="character" w:customStyle="1" w:styleId="CommentTextChar">
    <w:name w:val="Comment Text Char"/>
    <w:basedOn w:val="DefaultParagraphFont"/>
    <w:link w:val="CommentText"/>
    <w:uiPriority w:val="99"/>
    <w:semiHidden/>
    <w:rsid w:val="00203366"/>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8609244">
      <w:bodyDiv w:val="1"/>
      <w:marLeft w:val="0"/>
      <w:marRight w:val="0"/>
      <w:marTop w:val="0"/>
      <w:marBottom w:val="0"/>
      <w:divBdr>
        <w:top w:val="none" w:sz="0" w:space="0" w:color="auto"/>
        <w:left w:val="none" w:sz="0" w:space="0" w:color="auto"/>
        <w:bottom w:val="none" w:sz="0" w:space="0" w:color="auto"/>
        <w:right w:val="none" w:sz="0" w:space="0" w:color="auto"/>
      </w:divBdr>
    </w:div>
    <w:div w:id="13289443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hyperlink" Target="http://www.opm.gov/policy-data-oversight/data-analysis-documentation/federal-employment-reports/historical-tables/executive-branch-civilian-employment-since-1940/" TargetMode="Externa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chart" Target="charts/chart2.xml"/><Relationship Id="rId5" Type="http://schemas.openxmlformats.org/officeDocument/2006/relationships/image" Target="media/image1.png"/><Relationship Id="rId10" Type="http://schemas.openxmlformats.org/officeDocument/2006/relationships/hyperlink" Target="http://mercatus.org/publication/rise-capita-federal-spending" TargetMode="External"/><Relationship Id="rId4" Type="http://schemas.openxmlformats.org/officeDocument/2006/relationships/webSettings" Target="webSettings.xml"/><Relationship Id="rId9" Type="http://schemas.openxmlformats.org/officeDocument/2006/relationships/hyperlink" Target="https://www.whitehouse.gov/omb/budget/Historicals" TargetMode="External"/><Relationship Id="rId14"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oleObject" Target="https://d.docs.live.net/0a3ea97a87dc94c4/CQ/Federal%20Spendinhg.xls" TargetMode="External"/></Relationships>
</file>

<file path=word/charts/_rels/chart2.xml.rels><?xml version="1.0" encoding="UTF-8" standalone="yes"?>
<Relationships xmlns="http://schemas.openxmlformats.org/package/2006/relationships"><Relationship Id="rId3" Type="http://schemas.microsoft.com/office/2011/relationships/chartColorStyle" Target="colors1.xml"/><Relationship Id="rId2" Type="http://schemas.microsoft.com/office/2011/relationships/chartStyle" Target="style1.xml"/><Relationship Id="rId1" Type="http://schemas.openxmlformats.org/officeDocument/2006/relationships/oleObject" Target="https://d.docs.live.net/0a3ea97a87dc94c4/CQ/Defense%20v%20Civilian.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Federal Government Spending 1940-2014</a:t>
            </a:r>
          </a:p>
        </c:rich>
      </c:tx>
      <c:layout/>
      <c:overlay val="0"/>
      <c:spPr>
        <a:noFill/>
        <a:ln w="25400">
          <a:noFill/>
        </a:ln>
      </c:spPr>
    </c:title>
    <c:autoTitleDeleted val="0"/>
    <c:plotArea>
      <c:layout/>
      <c:lineChart>
        <c:grouping val="standard"/>
        <c:varyColors val="0"/>
        <c:ser>
          <c:idx val="0"/>
          <c:order val="0"/>
          <c:tx>
            <c:v>Total Outlays (billions $)</c:v>
          </c:tx>
          <c:spPr>
            <a:ln w="28575" cap="rnd">
              <a:solidFill>
                <a:schemeClr val="accent1"/>
              </a:solidFill>
              <a:round/>
            </a:ln>
            <a:effectLst/>
          </c:spPr>
          <c:marker>
            <c:symbol val="none"/>
          </c:marker>
          <c:cat>
            <c:strRef>
              <c:f>'[Federal Spendinhg.xls]Table'!$A$5:$A$79</c:f>
              <c:strCache>
                <c:ptCount val="75"/>
                <c:pt idx="0">
                  <c:v>1940</c:v>
                </c:pt>
                <c:pt idx="1">
                  <c:v>1941</c:v>
                </c:pt>
                <c:pt idx="2">
                  <c:v>1942</c:v>
                </c:pt>
                <c:pt idx="3">
                  <c:v>1943</c:v>
                </c:pt>
                <c:pt idx="4">
                  <c:v>1944</c:v>
                </c:pt>
                <c:pt idx="5">
                  <c:v>1945</c:v>
                </c:pt>
                <c:pt idx="6">
                  <c:v>1946</c:v>
                </c:pt>
                <c:pt idx="7">
                  <c:v>1947</c:v>
                </c:pt>
                <c:pt idx="8">
                  <c:v>1948</c:v>
                </c:pt>
                <c:pt idx="9">
                  <c:v>1949</c:v>
                </c:pt>
                <c:pt idx="10">
                  <c:v>1950</c:v>
                </c:pt>
                <c:pt idx="11">
                  <c:v>1951</c:v>
                </c:pt>
                <c:pt idx="12">
                  <c:v>1952</c:v>
                </c:pt>
                <c:pt idx="13">
                  <c:v>1953</c:v>
                </c:pt>
                <c:pt idx="14">
                  <c:v>1954</c:v>
                </c:pt>
                <c:pt idx="15">
                  <c:v>1955</c:v>
                </c:pt>
                <c:pt idx="16">
                  <c:v>1956</c:v>
                </c:pt>
                <c:pt idx="17">
                  <c:v>1957</c:v>
                </c:pt>
                <c:pt idx="18">
                  <c:v>1958</c:v>
                </c:pt>
                <c:pt idx="19">
                  <c:v>1959</c:v>
                </c:pt>
                <c:pt idx="20">
                  <c:v>1960</c:v>
                </c:pt>
                <c:pt idx="21">
                  <c:v>1961</c:v>
                </c:pt>
                <c:pt idx="22">
                  <c:v>1962</c:v>
                </c:pt>
                <c:pt idx="23">
                  <c:v>1963</c:v>
                </c:pt>
                <c:pt idx="24">
                  <c:v>1964</c:v>
                </c:pt>
                <c:pt idx="25">
                  <c:v>1965</c:v>
                </c:pt>
                <c:pt idx="26">
                  <c:v>1966</c:v>
                </c:pt>
                <c:pt idx="27">
                  <c:v>1967</c:v>
                </c:pt>
                <c:pt idx="28">
                  <c:v>1968</c:v>
                </c:pt>
                <c:pt idx="29">
                  <c:v>1969</c:v>
                </c:pt>
                <c:pt idx="30">
                  <c:v>1970</c:v>
                </c:pt>
                <c:pt idx="31">
                  <c:v>1971</c:v>
                </c:pt>
                <c:pt idx="32">
                  <c:v>1972</c:v>
                </c:pt>
                <c:pt idx="33">
                  <c:v>1973</c:v>
                </c:pt>
                <c:pt idx="34">
                  <c:v>1974</c:v>
                </c:pt>
                <c:pt idx="35">
                  <c:v>1975</c:v>
                </c:pt>
                <c:pt idx="36">
                  <c:v>1976</c:v>
                </c:pt>
                <c:pt idx="37">
                  <c:v>1977</c:v>
                </c:pt>
                <c:pt idx="38">
                  <c:v>1978</c:v>
                </c:pt>
                <c:pt idx="39">
                  <c:v>1979</c:v>
                </c:pt>
                <c:pt idx="40">
                  <c:v>1980</c:v>
                </c:pt>
                <c:pt idx="41">
                  <c:v>1981</c:v>
                </c:pt>
                <c:pt idx="42">
                  <c:v>1982</c:v>
                </c:pt>
                <c:pt idx="43">
                  <c:v>1983</c:v>
                </c:pt>
                <c:pt idx="44">
                  <c:v>1984</c:v>
                </c:pt>
                <c:pt idx="45">
                  <c:v>1985</c:v>
                </c:pt>
                <c:pt idx="46">
                  <c:v>1986</c:v>
                </c:pt>
                <c:pt idx="47">
                  <c:v>1987</c:v>
                </c:pt>
                <c:pt idx="48">
                  <c:v>1988</c:v>
                </c:pt>
                <c:pt idx="49">
                  <c:v>1989</c:v>
                </c:pt>
                <c:pt idx="50">
                  <c:v>1990</c:v>
                </c:pt>
                <c:pt idx="51">
                  <c:v>1991</c:v>
                </c:pt>
                <c:pt idx="52">
                  <c:v>1992</c:v>
                </c:pt>
                <c:pt idx="53">
                  <c:v>1993</c:v>
                </c:pt>
                <c:pt idx="54">
                  <c:v>1994</c:v>
                </c:pt>
                <c:pt idx="55">
                  <c:v>1995</c:v>
                </c:pt>
                <c:pt idx="56">
                  <c:v>1996</c:v>
                </c:pt>
                <c:pt idx="57">
                  <c:v>1997</c:v>
                </c:pt>
                <c:pt idx="58">
                  <c:v>1998</c:v>
                </c:pt>
                <c:pt idx="59">
                  <c:v>1999</c:v>
                </c:pt>
                <c:pt idx="60">
                  <c:v>2000</c:v>
                </c:pt>
                <c:pt idx="61">
                  <c:v>2001</c:v>
                </c:pt>
                <c:pt idx="62">
                  <c:v>2002</c:v>
                </c:pt>
                <c:pt idx="63">
                  <c:v>2003</c:v>
                </c:pt>
                <c:pt idx="64">
                  <c:v>2004</c:v>
                </c:pt>
                <c:pt idx="65">
                  <c:v>2005</c:v>
                </c:pt>
                <c:pt idx="66">
                  <c:v>2006</c:v>
                </c:pt>
                <c:pt idx="67">
                  <c:v>2007</c:v>
                </c:pt>
                <c:pt idx="68">
                  <c:v>2008</c:v>
                </c:pt>
                <c:pt idx="69">
                  <c:v>2009</c:v>
                </c:pt>
                <c:pt idx="70">
                  <c:v>2010</c:v>
                </c:pt>
                <c:pt idx="71">
                  <c:v>2011</c:v>
                </c:pt>
                <c:pt idx="72">
                  <c:v>2012</c:v>
                </c:pt>
                <c:pt idx="73">
                  <c:v>2013</c:v>
                </c:pt>
                <c:pt idx="74">
                  <c:v>2014</c:v>
                </c:pt>
              </c:strCache>
            </c:strRef>
          </c:cat>
          <c:val>
            <c:numRef>
              <c:f>'[Federal Spendinhg.xls]Table'!$C$5:$C$79</c:f>
              <c:numCache>
                <c:formatCode>#,##0.0</c:formatCode>
                <c:ptCount val="75"/>
                <c:pt idx="0">
                  <c:v>9.5</c:v>
                </c:pt>
                <c:pt idx="1">
                  <c:v>13.7</c:v>
                </c:pt>
                <c:pt idx="2">
                  <c:v>35.1</c:v>
                </c:pt>
                <c:pt idx="3">
                  <c:v>78.599999999999994</c:v>
                </c:pt>
                <c:pt idx="4">
                  <c:v>91.3</c:v>
                </c:pt>
                <c:pt idx="5">
                  <c:v>92.7</c:v>
                </c:pt>
                <c:pt idx="6">
                  <c:v>55.2</c:v>
                </c:pt>
                <c:pt idx="7">
                  <c:v>34.5</c:v>
                </c:pt>
                <c:pt idx="8">
                  <c:v>29.8</c:v>
                </c:pt>
                <c:pt idx="9">
                  <c:v>38.799999999999997</c:v>
                </c:pt>
                <c:pt idx="10">
                  <c:v>42.6</c:v>
                </c:pt>
                <c:pt idx="11">
                  <c:v>45.5</c:v>
                </c:pt>
                <c:pt idx="12">
                  <c:v>67.7</c:v>
                </c:pt>
                <c:pt idx="13">
                  <c:v>76.099999999999994</c:v>
                </c:pt>
                <c:pt idx="14">
                  <c:v>70.900000000000006</c:v>
                </c:pt>
                <c:pt idx="15">
                  <c:v>68.400000000000006</c:v>
                </c:pt>
                <c:pt idx="16">
                  <c:v>70.599999999999994</c:v>
                </c:pt>
                <c:pt idx="17">
                  <c:v>76.599999999999994</c:v>
                </c:pt>
                <c:pt idx="18">
                  <c:v>82.4</c:v>
                </c:pt>
                <c:pt idx="19">
                  <c:v>92.1</c:v>
                </c:pt>
                <c:pt idx="20">
                  <c:v>92.2</c:v>
                </c:pt>
                <c:pt idx="21">
                  <c:v>97.7</c:v>
                </c:pt>
                <c:pt idx="22">
                  <c:v>106.8</c:v>
                </c:pt>
                <c:pt idx="23">
                  <c:v>111.3</c:v>
                </c:pt>
                <c:pt idx="24">
                  <c:v>118.5</c:v>
                </c:pt>
                <c:pt idx="25">
                  <c:v>118.2</c:v>
                </c:pt>
                <c:pt idx="26">
                  <c:v>134.5</c:v>
                </c:pt>
                <c:pt idx="27">
                  <c:v>157.5</c:v>
                </c:pt>
                <c:pt idx="28">
                  <c:v>178.1</c:v>
                </c:pt>
                <c:pt idx="29">
                  <c:v>183.6</c:v>
                </c:pt>
                <c:pt idx="30">
                  <c:v>195.6</c:v>
                </c:pt>
                <c:pt idx="31">
                  <c:v>210.2</c:v>
                </c:pt>
                <c:pt idx="32">
                  <c:v>230.7</c:v>
                </c:pt>
                <c:pt idx="33">
                  <c:v>245.7</c:v>
                </c:pt>
                <c:pt idx="34">
                  <c:v>269.39999999999992</c:v>
                </c:pt>
                <c:pt idx="35">
                  <c:v>332.3</c:v>
                </c:pt>
                <c:pt idx="36">
                  <c:v>371.8</c:v>
                </c:pt>
                <c:pt idx="37">
                  <c:v>409.2</c:v>
                </c:pt>
                <c:pt idx="38">
                  <c:v>458.7</c:v>
                </c:pt>
                <c:pt idx="39">
                  <c:v>504</c:v>
                </c:pt>
                <c:pt idx="40">
                  <c:v>590.9</c:v>
                </c:pt>
                <c:pt idx="41">
                  <c:v>678.2</c:v>
                </c:pt>
                <c:pt idx="42">
                  <c:v>745.7</c:v>
                </c:pt>
                <c:pt idx="43">
                  <c:v>808.4</c:v>
                </c:pt>
                <c:pt idx="44">
                  <c:v>851.8</c:v>
                </c:pt>
                <c:pt idx="45">
                  <c:v>946.3</c:v>
                </c:pt>
                <c:pt idx="46">
                  <c:v>990.4</c:v>
                </c:pt>
                <c:pt idx="47">
                  <c:v>1004</c:v>
                </c:pt>
                <c:pt idx="48">
                  <c:v>1064.4000000000001</c:v>
                </c:pt>
                <c:pt idx="49">
                  <c:v>1143.7</c:v>
                </c:pt>
                <c:pt idx="50">
                  <c:v>1253</c:v>
                </c:pt>
                <c:pt idx="51">
                  <c:v>1324.2</c:v>
                </c:pt>
                <c:pt idx="52">
                  <c:v>1381.5</c:v>
                </c:pt>
                <c:pt idx="53">
                  <c:v>1409.4</c:v>
                </c:pt>
                <c:pt idx="54">
                  <c:v>1461.8</c:v>
                </c:pt>
                <c:pt idx="55">
                  <c:v>1515.7</c:v>
                </c:pt>
                <c:pt idx="56">
                  <c:v>1560.5</c:v>
                </c:pt>
                <c:pt idx="57">
                  <c:v>1601.1</c:v>
                </c:pt>
                <c:pt idx="58">
                  <c:v>1652.5</c:v>
                </c:pt>
                <c:pt idx="59">
                  <c:v>1701.8</c:v>
                </c:pt>
                <c:pt idx="60">
                  <c:v>1789</c:v>
                </c:pt>
                <c:pt idx="61">
                  <c:v>1862.8</c:v>
                </c:pt>
                <c:pt idx="62">
                  <c:v>2010.9</c:v>
                </c:pt>
                <c:pt idx="63">
                  <c:v>2159.9</c:v>
                </c:pt>
                <c:pt idx="64">
                  <c:v>2292.8000000000002</c:v>
                </c:pt>
                <c:pt idx="65">
                  <c:v>2472</c:v>
                </c:pt>
                <c:pt idx="66">
                  <c:v>2655</c:v>
                </c:pt>
                <c:pt idx="67">
                  <c:v>2728.7</c:v>
                </c:pt>
                <c:pt idx="68">
                  <c:v>2982.5</c:v>
                </c:pt>
                <c:pt idx="69">
                  <c:v>3517.7</c:v>
                </c:pt>
                <c:pt idx="70">
                  <c:v>3457.1</c:v>
                </c:pt>
                <c:pt idx="71">
                  <c:v>3603.1</c:v>
                </c:pt>
                <c:pt idx="72">
                  <c:v>3537</c:v>
                </c:pt>
                <c:pt idx="73">
                  <c:v>3454.6</c:v>
                </c:pt>
                <c:pt idx="74">
                  <c:v>3506.1</c:v>
                </c:pt>
              </c:numCache>
            </c:numRef>
          </c:val>
          <c:smooth val="0"/>
        </c:ser>
        <c:ser>
          <c:idx val="1"/>
          <c:order val="1"/>
          <c:tx>
            <c:v>Total Outlays (inflation adjusted)</c:v>
          </c:tx>
          <c:spPr>
            <a:ln w="28575" cap="rnd">
              <a:solidFill>
                <a:schemeClr val="accent2"/>
              </a:solidFill>
              <a:round/>
            </a:ln>
            <a:effectLst/>
          </c:spPr>
          <c:marker>
            <c:symbol val="none"/>
          </c:marker>
          <c:cat>
            <c:strRef>
              <c:f>'[Federal Spendinhg.xls]Table'!$A$5:$A$79</c:f>
              <c:strCache>
                <c:ptCount val="75"/>
                <c:pt idx="0">
                  <c:v>1940</c:v>
                </c:pt>
                <c:pt idx="1">
                  <c:v>1941</c:v>
                </c:pt>
                <c:pt idx="2">
                  <c:v>1942</c:v>
                </c:pt>
                <c:pt idx="3">
                  <c:v>1943</c:v>
                </c:pt>
                <c:pt idx="4">
                  <c:v>1944</c:v>
                </c:pt>
                <c:pt idx="5">
                  <c:v>1945</c:v>
                </c:pt>
                <c:pt idx="6">
                  <c:v>1946</c:v>
                </c:pt>
                <c:pt idx="7">
                  <c:v>1947</c:v>
                </c:pt>
                <c:pt idx="8">
                  <c:v>1948</c:v>
                </c:pt>
                <c:pt idx="9">
                  <c:v>1949</c:v>
                </c:pt>
                <c:pt idx="10">
                  <c:v>1950</c:v>
                </c:pt>
                <c:pt idx="11">
                  <c:v>1951</c:v>
                </c:pt>
                <c:pt idx="12">
                  <c:v>1952</c:v>
                </c:pt>
                <c:pt idx="13">
                  <c:v>1953</c:v>
                </c:pt>
                <c:pt idx="14">
                  <c:v>1954</c:v>
                </c:pt>
                <c:pt idx="15">
                  <c:v>1955</c:v>
                </c:pt>
                <c:pt idx="16">
                  <c:v>1956</c:v>
                </c:pt>
                <c:pt idx="17">
                  <c:v>1957</c:v>
                </c:pt>
                <c:pt idx="18">
                  <c:v>1958</c:v>
                </c:pt>
                <c:pt idx="19">
                  <c:v>1959</c:v>
                </c:pt>
                <c:pt idx="20">
                  <c:v>1960</c:v>
                </c:pt>
                <c:pt idx="21">
                  <c:v>1961</c:v>
                </c:pt>
                <c:pt idx="22">
                  <c:v>1962</c:v>
                </c:pt>
                <c:pt idx="23">
                  <c:v>1963</c:v>
                </c:pt>
                <c:pt idx="24">
                  <c:v>1964</c:v>
                </c:pt>
                <c:pt idx="25">
                  <c:v>1965</c:v>
                </c:pt>
                <c:pt idx="26">
                  <c:v>1966</c:v>
                </c:pt>
                <c:pt idx="27">
                  <c:v>1967</c:v>
                </c:pt>
                <c:pt idx="28">
                  <c:v>1968</c:v>
                </c:pt>
                <c:pt idx="29">
                  <c:v>1969</c:v>
                </c:pt>
                <c:pt idx="30">
                  <c:v>1970</c:v>
                </c:pt>
                <c:pt idx="31">
                  <c:v>1971</c:v>
                </c:pt>
                <c:pt idx="32">
                  <c:v>1972</c:v>
                </c:pt>
                <c:pt idx="33">
                  <c:v>1973</c:v>
                </c:pt>
                <c:pt idx="34">
                  <c:v>1974</c:v>
                </c:pt>
                <c:pt idx="35">
                  <c:v>1975</c:v>
                </c:pt>
                <c:pt idx="36">
                  <c:v>1976</c:v>
                </c:pt>
                <c:pt idx="37">
                  <c:v>1977</c:v>
                </c:pt>
                <c:pt idx="38">
                  <c:v>1978</c:v>
                </c:pt>
                <c:pt idx="39">
                  <c:v>1979</c:v>
                </c:pt>
                <c:pt idx="40">
                  <c:v>1980</c:v>
                </c:pt>
                <c:pt idx="41">
                  <c:v>1981</c:v>
                </c:pt>
                <c:pt idx="42">
                  <c:v>1982</c:v>
                </c:pt>
                <c:pt idx="43">
                  <c:v>1983</c:v>
                </c:pt>
                <c:pt idx="44">
                  <c:v>1984</c:v>
                </c:pt>
                <c:pt idx="45">
                  <c:v>1985</c:v>
                </c:pt>
                <c:pt idx="46">
                  <c:v>1986</c:v>
                </c:pt>
                <c:pt idx="47">
                  <c:v>1987</c:v>
                </c:pt>
                <c:pt idx="48">
                  <c:v>1988</c:v>
                </c:pt>
                <c:pt idx="49">
                  <c:v>1989</c:v>
                </c:pt>
                <c:pt idx="50">
                  <c:v>1990</c:v>
                </c:pt>
                <c:pt idx="51">
                  <c:v>1991</c:v>
                </c:pt>
                <c:pt idx="52">
                  <c:v>1992</c:v>
                </c:pt>
                <c:pt idx="53">
                  <c:v>1993</c:v>
                </c:pt>
                <c:pt idx="54">
                  <c:v>1994</c:v>
                </c:pt>
                <c:pt idx="55">
                  <c:v>1995</c:v>
                </c:pt>
                <c:pt idx="56">
                  <c:v>1996</c:v>
                </c:pt>
                <c:pt idx="57">
                  <c:v>1997</c:v>
                </c:pt>
                <c:pt idx="58">
                  <c:v>1998</c:v>
                </c:pt>
                <c:pt idx="59">
                  <c:v>1999</c:v>
                </c:pt>
                <c:pt idx="60">
                  <c:v>2000</c:v>
                </c:pt>
                <c:pt idx="61">
                  <c:v>2001</c:v>
                </c:pt>
                <c:pt idx="62">
                  <c:v>2002</c:v>
                </c:pt>
                <c:pt idx="63">
                  <c:v>2003</c:v>
                </c:pt>
                <c:pt idx="64">
                  <c:v>2004</c:v>
                </c:pt>
                <c:pt idx="65">
                  <c:v>2005</c:v>
                </c:pt>
                <c:pt idx="66">
                  <c:v>2006</c:v>
                </c:pt>
                <c:pt idx="67">
                  <c:v>2007</c:v>
                </c:pt>
                <c:pt idx="68">
                  <c:v>2008</c:v>
                </c:pt>
                <c:pt idx="69">
                  <c:v>2009</c:v>
                </c:pt>
                <c:pt idx="70">
                  <c:v>2010</c:v>
                </c:pt>
                <c:pt idx="71">
                  <c:v>2011</c:v>
                </c:pt>
                <c:pt idx="72">
                  <c:v>2012</c:v>
                </c:pt>
                <c:pt idx="73">
                  <c:v>2013</c:v>
                </c:pt>
                <c:pt idx="74">
                  <c:v>2014</c:v>
                </c:pt>
              </c:strCache>
            </c:strRef>
          </c:cat>
          <c:val>
            <c:numRef>
              <c:f>'[Federal Spendinhg.xls]Table'!$F$5:$F$79</c:f>
              <c:numCache>
                <c:formatCode>#,##0.0</c:formatCode>
                <c:ptCount val="75"/>
                <c:pt idx="0">
                  <c:v>135.80000000000001</c:v>
                </c:pt>
                <c:pt idx="1">
                  <c:v>177.5</c:v>
                </c:pt>
                <c:pt idx="2">
                  <c:v>402.9</c:v>
                </c:pt>
                <c:pt idx="3">
                  <c:v>814.9</c:v>
                </c:pt>
                <c:pt idx="4">
                  <c:v>1029.4000000000001</c:v>
                </c:pt>
                <c:pt idx="5">
                  <c:v>1110.3</c:v>
                </c:pt>
                <c:pt idx="6">
                  <c:v>656</c:v>
                </c:pt>
                <c:pt idx="7">
                  <c:v>360.8</c:v>
                </c:pt>
                <c:pt idx="8">
                  <c:v>299.39999999999992</c:v>
                </c:pt>
                <c:pt idx="9">
                  <c:v>405.4</c:v>
                </c:pt>
                <c:pt idx="10">
                  <c:v>423.5</c:v>
                </c:pt>
                <c:pt idx="11">
                  <c:v>451.1</c:v>
                </c:pt>
                <c:pt idx="12">
                  <c:v>672.8</c:v>
                </c:pt>
                <c:pt idx="13">
                  <c:v>704.6</c:v>
                </c:pt>
                <c:pt idx="14">
                  <c:v>636.6</c:v>
                </c:pt>
                <c:pt idx="15">
                  <c:v>594.6</c:v>
                </c:pt>
                <c:pt idx="16">
                  <c:v>587.70000000000005</c:v>
                </c:pt>
                <c:pt idx="17">
                  <c:v>607.29999999999995</c:v>
                </c:pt>
                <c:pt idx="18">
                  <c:v>616.79999999999995</c:v>
                </c:pt>
                <c:pt idx="19">
                  <c:v>662.1</c:v>
                </c:pt>
                <c:pt idx="20">
                  <c:v>653.4</c:v>
                </c:pt>
                <c:pt idx="21">
                  <c:v>677.2</c:v>
                </c:pt>
                <c:pt idx="22">
                  <c:v>738.7</c:v>
                </c:pt>
                <c:pt idx="23">
                  <c:v>738.7</c:v>
                </c:pt>
                <c:pt idx="24">
                  <c:v>774.2</c:v>
                </c:pt>
                <c:pt idx="25">
                  <c:v>761.3</c:v>
                </c:pt>
                <c:pt idx="26">
                  <c:v>842.9</c:v>
                </c:pt>
                <c:pt idx="27">
                  <c:v>964.9</c:v>
                </c:pt>
                <c:pt idx="28">
                  <c:v>1052.8</c:v>
                </c:pt>
                <c:pt idx="29">
                  <c:v>1021.4</c:v>
                </c:pt>
                <c:pt idx="30">
                  <c:v>1030.3</c:v>
                </c:pt>
                <c:pt idx="31">
                  <c:v>1034.8</c:v>
                </c:pt>
                <c:pt idx="32">
                  <c:v>1065</c:v>
                </c:pt>
                <c:pt idx="33">
                  <c:v>1083.8</c:v>
                </c:pt>
                <c:pt idx="34">
                  <c:v>1097.2</c:v>
                </c:pt>
                <c:pt idx="35">
                  <c:v>1232.7</c:v>
                </c:pt>
                <c:pt idx="36">
                  <c:v>1286.5</c:v>
                </c:pt>
                <c:pt idx="37">
                  <c:v>1320.5</c:v>
                </c:pt>
                <c:pt idx="38">
                  <c:v>1392.7</c:v>
                </c:pt>
                <c:pt idx="39">
                  <c:v>1408.7</c:v>
                </c:pt>
                <c:pt idx="40">
                  <c:v>1494.9</c:v>
                </c:pt>
                <c:pt idx="41">
                  <c:v>1543.9</c:v>
                </c:pt>
                <c:pt idx="42">
                  <c:v>1579.3</c:v>
                </c:pt>
                <c:pt idx="43">
                  <c:v>1630.4</c:v>
                </c:pt>
                <c:pt idx="44">
                  <c:v>1642.8</c:v>
                </c:pt>
                <c:pt idx="45">
                  <c:v>1761.3</c:v>
                </c:pt>
                <c:pt idx="46">
                  <c:v>1805</c:v>
                </c:pt>
                <c:pt idx="47">
                  <c:v>1778.9</c:v>
                </c:pt>
                <c:pt idx="48">
                  <c:v>1824.2</c:v>
                </c:pt>
                <c:pt idx="49">
                  <c:v>1887.7</c:v>
                </c:pt>
                <c:pt idx="50">
                  <c:v>2008.6</c:v>
                </c:pt>
                <c:pt idx="51">
                  <c:v>2028.8</c:v>
                </c:pt>
                <c:pt idx="52">
                  <c:v>2040.1</c:v>
                </c:pt>
                <c:pt idx="53">
                  <c:v>2021.2</c:v>
                </c:pt>
                <c:pt idx="54">
                  <c:v>2058.8000000000002</c:v>
                </c:pt>
                <c:pt idx="55">
                  <c:v>2074.4</c:v>
                </c:pt>
                <c:pt idx="56">
                  <c:v>2091.8000000000002</c:v>
                </c:pt>
                <c:pt idx="57">
                  <c:v>2103.4</c:v>
                </c:pt>
                <c:pt idx="58">
                  <c:v>2151.4</c:v>
                </c:pt>
                <c:pt idx="59">
                  <c:v>2188</c:v>
                </c:pt>
                <c:pt idx="60">
                  <c:v>2244.3000000000002</c:v>
                </c:pt>
                <c:pt idx="61">
                  <c:v>2276.1999999999998</c:v>
                </c:pt>
                <c:pt idx="62">
                  <c:v>2416.9</c:v>
                </c:pt>
                <c:pt idx="63">
                  <c:v>2524.6999999999998</c:v>
                </c:pt>
                <c:pt idx="64">
                  <c:v>2611.6999999999998</c:v>
                </c:pt>
                <c:pt idx="65">
                  <c:v>2721.5</c:v>
                </c:pt>
                <c:pt idx="66">
                  <c:v>2825.7</c:v>
                </c:pt>
                <c:pt idx="67">
                  <c:v>2829.4</c:v>
                </c:pt>
                <c:pt idx="68">
                  <c:v>2988.2</c:v>
                </c:pt>
                <c:pt idx="69">
                  <c:v>3517.7</c:v>
                </c:pt>
                <c:pt idx="70">
                  <c:v>3416.4</c:v>
                </c:pt>
                <c:pt idx="71">
                  <c:v>3492</c:v>
                </c:pt>
                <c:pt idx="72">
                  <c:v>3364.7</c:v>
                </c:pt>
                <c:pt idx="73">
                  <c:v>3241.1</c:v>
                </c:pt>
                <c:pt idx="74">
                  <c:v>3238.9</c:v>
                </c:pt>
              </c:numCache>
            </c:numRef>
          </c:val>
          <c:smooth val="0"/>
        </c:ser>
        <c:ser>
          <c:idx val="3"/>
          <c:order val="3"/>
          <c:tx>
            <c:v>Per Capita (thousands)</c:v>
          </c:tx>
          <c:spPr>
            <a:ln w="28575" cap="rnd">
              <a:solidFill>
                <a:schemeClr val="accent4"/>
              </a:solidFill>
              <a:round/>
            </a:ln>
            <a:effectLst/>
          </c:spPr>
          <c:marker>
            <c:symbol val="none"/>
          </c:marker>
          <c:val>
            <c:numRef>
              <c:f>'[Federal Spendinhg.xls]Table'!$L$5:$L$79</c:f>
              <c:numCache>
                <c:formatCode>General</c:formatCode>
                <c:ptCount val="75"/>
                <c:pt idx="5" formatCode="#,##0">
                  <c:v>8622</c:v>
                </c:pt>
                <c:pt idx="6" formatCode="#,##0">
                  <c:v>5039</c:v>
                </c:pt>
                <c:pt idx="7" formatCode="#,##0">
                  <c:v>2764</c:v>
                </c:pt>
                <c:pt idx="8" formatCode="#,##0">
                  <c:v>2214</c:v>
                </c:pt>
                <c:pt idx="9" formatCode="#,##0">
                  <c:v>2937</c:v>
                </c:pt>
                <c:pt idx="10" formatCode="#,##0">
                  <c:v>3015</c:v>
                </c:pt>
                <c:pt idx="11" formatCode="#,##0">
                  <c:v>3166</c:v>
                </c:pt>
                <c:pt idx="12" formatCode="#,##0">
                  <c:v>4644</c:v>
                </c:pt>
                <c:pt idx="13" formatCode="#,##0">
                  <c:v>4778</c:v>
                </c:pt>
                <c:pt idx="14" formatCode="#,##0">
                  <c:v>4228</c:v>
                </c:pt>
                <c:pt idx="15" formatCode="#,##0">
                  <c:v>3879</c:v>
                </c:pt>
                <c:pt idx="16" formatCode="#,##0">
                  <c:v>3770</c:v>
                </c:pt>
                <c:pt idx="17" formatCode="#,##0">
                  <c:v>3832</c:v>
                </c:pt>
                <c:pt idx="18" formatCode="#,##0">
                  <c:v>3826</c:v>
                </c:pt>
                <c:pt idx="19" formatCode="#,##0">
                  <c:v>4042</c:v>
                </c:pt>
                <c:pt idx="20" formatCode="#,##0">
                  <c:v>3924</c:v>
                </c:pt>
                <c:pt idx="21" formatCode="#,##0">
                  <c:v>4001</c:v>
                </c:pt>
                <c:pt idx="22" formatCode="#,##0">
                  <c:v>4304</c:v>
                </c:pt>
                <c:pt idx="23" formatCode="#,##0">
                  <c:v>4245</c:v>
                </c:pt>
                <c:pt idx="24" formatCode="#,##0">
                  <c:v>4384</c:v>
                </c:pt>
                <c:pt idx="25" formatCode="#,##0">
                  <c:v>4255</c:v>
                </c:pt>
                <c:pt idx="26" formatCode="#,##0">
                  <c:v>4657</c:v>
                </c:pt>
                <c:pt idx="27" formatCode="#,##0">
                  <c:v>5275</c:v>
                </c:pt>
                <c:pt idx="28" formatCode="#,##0">
                  <c:v>5696</c:v>
                </c:pt>
                <c:pt idx="29" formatCode="#,##0">
                  <c:v>5471</c:v>
                </c:pt>
                <c:pt idx="30" formatCode="#,##0">
                  <c:v>5451</c:v>
                </c:pt>
                <c:pt idx="31" formatCode="#,##0">
                  <c:v>5408</c:v>
                </c:pt>
                <c:pt idx="32" formatCode="#,##0">
                  <c:v>5506</c:v>
                </c:pt>
                <c:pt idx="33" formatCode="#,##0">
                  <c:v>5550</c:v>
                </c:pt>
                <c:pt idx="34" formatCode="#,##0">
                  <c:v>5567</c:v>
                </c:pt>
                <c:pt idx="35" formatCode="#,##0">
                  <c:v>6192</c:v>
                </c:pt>
                <c:pt idx="36" formatCode="#,##0">
                  <c:v>6406</c:v>
                </c:pt>
                <c:pt idx="37" formatCode="#,##0">
                  <c:v>6506</c:v>
                </c:pt>
                <c:pt idx="38" formatCode="#,##0">
                  <c:v>6789</c:v>
                </c:pt>
                <c:pt idx="39" formatCode="#,##0">
                  <c:v>6795</c:v>
                </c:pt>
                <c:pt idx="40" formatCode="#,##0">
                  <c:v>7123</c:v>
                </c:pt>
                <c:pt idx="41" formatCode="#,##0">
                  <c:v>7288</c:v>
                </c:pt>
                <c:pt idx="42" formatCode="#,##0">
                  <c:v>7381</c:v>
                </c:pt>
                <c:pt idx="43" formatCode="#,##0">
                  <c:v>7558</c:v>
                </c:pt>
                <c:pt idx="44" formatCode="#,##0">
                  <c:v>7565</c:v>
                </c:pt>
                <c:pt idx="45" formatCode="#,##0">
                  <c:v>8065</c:v>
                </c:pt>
                <c:pt idx="46" formatCode="#,##0">
                  <c:v>8146</c:v>
                </c:pt>
                <c:pt idx="47" formatCode="#,##0">
                  <c:v>7961</c:v>
                </c:pt>
                <c:pt idx="48" formatCode="#,##0">
                  <c:v>8092</c:v>
                </c:pt>
                <c:pt idx="49" formatCode="#,##0">
                  <c:v>8295</c:v>
                </c:pt>
                <c:pt idx="50" formatCode="#,##0">
                  <c:v>8728</c:v>
                </c:pt>
                <c:pt idx="51" formatCode="#,##0">
                  <c:v>8721</c:v>
                </c:pt>
                <c:pt idx="52" formatCode="#,##0">
                  <c:v>8677</c:v>
                </c:pt>
                <c:pt idx="53" formatCode="#,##0">
                  <c:v>8507</c:v>
                </c:pt>
                <c:pt idx="54" formatCode="#,##0">
                  <c:v>8579</c:v>
                </c:pt>
                <c:pt idx="55" formatCode="#,##0">
                  <c:v>8563</c:v>
                </c:pt>
                <c:pt idx="56" formatCode="#,##0">
                  <c:v>8551</c:v>
                </c:pt>
                <c:pt idx="57" formatCode="#,##0">
                  <c:v>8518</c:v>
                </c:pt>
                <c:pt idx="58" formatCode="#,##0">
                  <c:v>8634</c:v>
                </c:pt>
                <c:pt idx="59" formatCode="#,##0">
                  <c:v>8701</c:v>
                </c:pt>
                <c:pt idx="60" formatCode="#,##0">
                  <c:v>8633</c:v>
                </c:pt>
                <c:pt idx="61" formatCode="#,##0">
                  <c:v>8665</c:v>
                </c:pt>
                <c:pt idx="62" formatCode="#,##0">
                  <c:v>9112</c:v>
                </c:pt>
                <c:pt idx="63" formatCode="#,##0">
                  <c:v>9440</c:v>
                </c:pt>
                <c:pt idx="64" formatCode="#,##0">
                  <c:v>9667</c:v>
                </c:pt>
                <c:pt idx="65" formatCode="#,##0">
                  <c:v>9979</c:v>
                </c:pt>
                <c:pt idx="66" formatCode="#,##0">
                  <c:v>10261</c:v>
                </c:pt>
                <c:pt idx="67" formatCode="#,##0">
                  <c:v>10172</c:v>
                </c:pt>
                <c:pt idx="68" formatCode="#,##0">
                  <c:v>10644</c:v>
                </c:pt>
                <c:pt idx="69" formatCode="#,##0">
                  <c:v>12422</c:v>
                </c:pt>
                <c:pt idx="70" formatCode="#,##0">
                  <c:v>11935</c:v>
                </c:pt>
                <c:pt idx="71" formatCode="#,##0">
                  <c:v>12111</c:v>
                </c:pt>
                <c:pt idx="72" formatCode="#,##0">
                  <c:v>11584</c:v>
                </c:pt>
                <c:pt idx="73" formatCode="#,##0">
                  <c:v>11061</c:v>
                </c:pt>
                <c:pt idx="74" formatCode="#,##0">
                  <c:v>10970</c:v>
                </c:pt>
              </c:numCache>
            </c:numRef>
          </c:val>
          <c:smooth val="0"/>
        </c:ser>
        <c:dLbls>
          <c:showLegendKey val="0"/>
          <c:showVal val="0"/>
          <c:showCatName val="0"/>
          <c:showSerName val="0"/>
          <c:showPercent val="0"/>
          <c:showBubbleSize val="0"/>
        </c:dLbls>
        <c:marker val="1"/>
        <c:smooth val="0"/>
        <c:axId val="54652288"/>
        <c:axId val="54655232"/>
      </c:lineChart>
      <c:lineChart>
        <c:grouping val="standard"/>
        <c:varyColors val="0"/>
        <c:ser>
          <c:idx val="2"/>
          <c:order val="2"/>
          <c:tx>
            <c:v>%GDP</c:v>
          </c:tx>
          <c:spPr>
            <a:ln w="28575" cap="rnd">
              <a:solidFill>
                <a:schemeClr val="accent6">
                  <a:lumMod val="75000"/>
                </a:schemeClr>
              </a:solidFill>
              <a:round/>
            </a:ln>
            <a:effectLst/>
          </c:spPr>
          <c:marker>
            <c:symbol val="none"/>
          </c:marker>
          <c:val>
            <c:numRef>
              <c:f>'[Federal Spendinhg.xls]Table'!$J$5:$J$79</c:f>
              <c:numCache>
                <c:formatCode>#,##0.0</c:formatCode>
                <c:ptCount val="75"/>
                <c:pt idx="0">
                  <c:v>9.6</c:v>
                </c:pt>
                <c:pt idx="1">
                  <c:v>11.7</c:v>
                </c:pt>
                <c:pt idx="2">
                  <c:v>23.8</c:v>
                </c:pt>
                <c:pt idx="3">
                  <c:v>42.6</c:v>
                </c:pt>
                <c:pt idx="4">
                  <c:v>42.7</c:v>
                </c:pt>
                <c:pt idx="5">
                  <c:v>41</c:v>
                </c:pt>
                <c:pt idx="6">
                  <c:v>24.2</c:v>
                </c:pt>
                <c:pt idx="7">
                  <c:v>14.4</c:v>
                </c:pt>
                <c:pt idx="8">
                  <c:v>11.3</c:v>
                </c:pt>
                <c:pt idx="9">
                  <c:v>14</c:v>
                </c:pt>
                <c:pt idx="10">
                  <c:v>15.3</c:v>
                </c:pt>
                <c:pt idx="11">
                  <c:v>13.9</c:v>
                </c:pt>
                <c:pt idx="12">
                  <c:v>18.899999999999999</c:v>
                </c:pt>
                <c:pt idx="13">
                  <c:v>19.899999999999999</c:v>
                </c:pt>
                <c:pt idx="14">
                  <c:v>18.3</c:v>
                </c:pt>
                <c:pt idx="15">
                  <c:v>16.8</c:v>
                </c:pt>
                <c:pt idx="16">
                  <c:v>16.100000000000001</c:v>
                </c:pt>
                <c:pt idx="17">
                  <c:v>16.5</c:v>
                </c:pt>
                <c:pt idx="18">
                  <c:v>17.399999999999999</c:v>
                </c:pt>
                <c:pt idx="19">
                  <c:v>18.2</c:v>
                </c:pt>
                <c:pt idx="20">
                  <c:v>17.2</c:v>
                </c:pt>
                <c:pt idx="21">
                  <c:v>17.8</c:v>
                </c:pt>
                <c:pt idx="22">
                  <c:v>18.2</c:v>
                </c:pt>
                <c:pt idx="23">
                  <c:v>18</c:v>
                </c:pt>
                <c:pt idx="24">
                  <c:v>17.899999999999999</c:v>
                </c:pt>
                <c:pt idx="25">
                  <c:v>16.600000000000001</c:v>
                </c:pt>
                <c:pt idx="26">
                  <c:v>17.2</c:v>
                </c:pt>
                <c:pt idx="27">
                  <c:v>18.8</c:v>
                </c:pt>
                <c:pt idx="28">
                  <c:v>19.8</c:v>
                </c:pt>
                <c:pt idx="29">
                  <c:v>18.7</c:v>
                </c:pt>
                <c:pt idx="30">
                  <c:v>18.600000000000001</c:v>
                </c:pt>
                <c:pt idx="31">
                  <c:v>18.8</c:v>
                </c:pt>
                <c:pt idx="32">
                  <c:v>18.899999999999999</c:v>
                </c:pt>
                <c:pt idx="33">
                  <c:v>18.100000000000001</c:v>
                </c:pt>
                <c:pt idx="34">
                  <c:v>18.100000000000001</c:v>
                </c:pt>
                <c:pt idx="35">
                  <c:v>20.6</c:v>
                </c:pt>
                <c:pt idx="36">
                  <c:v>20.8</c:v>
                </c:pt>
                <c:pt idx="37">
                  <c:v>20.2</c:v>
                </c:pt>
                <c:pt idx="38">
                  <c:v>20.100000000000001</c:v>
                </c:pt>
                <c:pt idx="39">
                  <c:v>19.600000000000001</c:v>
                </c:pt>
                <c:pt idx="40">
                  <c:v>21.1</c:v>
                </c:pt>
                <c:pt idx="41">
                  <c:v>21.6</c:v>
                </c:pt>
                <c:pt idx="42">
                  <c:v>22.5</c:v>
                </c:pt>
                <c:pt idx="43">
                  <c:v>22.8</c:v>
                </c:pt>
                <c:pt idx="44">
                  <c:v>21.5</c:v>
                </c:pt>
                <c:pt idx="45">
                  <c:v>22.2</c:v>
                </c:pt>
                <c:pt idx="46">
                  <c:v>21.8</c:v>
                </c:pt>
                <c:pt idx="47">
                  <c:v>21</c:v>
                </c:pt>
                <c:pt idx="48">
                  <c:v>20.6</c:v>
                </c:pt>
                <c:pt idx="49">
                  <c:v>20.5</c:v>
                </c:pt>
                <c:pt idx="50">
                  <c:v>21.2</c:v>
                </c:pt>
                <c:pt idx="51">
                  <c:v>21.7</c:v>
                </c:pt>
                <c:pt idx="52">
                  <c:v>21.5</c:v>
                </c:pt>
                <c:pt idx="53">
                  <c:v>20.7</c:v>
                </c:pt>
                <c:pt idx="54">
                  <c:v>20.3</c:v>
                </c:pt>
                <c:pt idx="55">
                  <c:v>20</c:v>
                </c:pt>
                <c:pt idx="56">
                  <c:v>19.600000000000001</c:v>
                </c:pt>
                <c:pt idx="57">
                  <c:v>18.899999999999999</c:v>
                </c:pt>
                <c:pt idx="58">
                  <c:v>18.5</c:v>
                </c:pt>
                <c:pt idx="59">
                  <c:v>17.899999999999999</c:v>
                </c:pt>
                <c:pt idx="60">
                  <c:v>17.600000000000001</c:v>
                </c:pt>
                <c:pt idx="61">
                  <c:v>17.600000000000001</c:v>
                </c:pt>
                <c:pt idx="62">
                  <c:v>18.5</c:v>
                </c:pt>
                <c:pt idx="63">
                  <c:v>19.100000000000001</c:v>
                </c:pt>
                <c:pt idx="64">
                  <c:v>19</c:v>
                </c:pt>
                <c:pt idx="65">
                  <c:v>19.2</c:v>
                </c:pt>
                <c:pt idx="66">
                  <c:v>19.399999999999999</c:v>
                </c:pt>
                <c:pt idx="67">
                  <c:v>19.100000000000001</c:v>
                </c:pt>
                <c:pt idx="68">
                  <c:v>20.2</c:v>
                </c:pt>
                <c:pt idx="69">
                  <c:v>24.4</c:v>
                </c:pt>
                <c:pt idx="70">
                  <c:v>23.4</c:v>
                </c:pt>
                <c:pt idx="71">
                  <c:v>23.4</c:v>
                </c:pt>
                <c:pt idx="72">
                  <c:v>22.1</c:v>
                </c:pt>
                <c:pt idx="73">
                  <c:v>20.8</c:v>
                </c:pt>
                <c:pt idx="74">
                  <c:v>20.3</c:v>
                </c:pt>
              </c:numCache>
            </c:numRef>
          </c:val>
          <c:smooth val="0"/>
        </c:ser>
        <c:dLbls>
          <c:showLegendKey val="0"/>
          <c:showVal val="0"/>
          <c:showCatName val="0"/>
          <c:showSerName val="0"/>
          <c:showPercent val="0"/>
          <c:showBubbleSize val="0"/>
        </c:dLbls>
        <c:marker val="1"/>
        <c:smooth val="0"/>
        <c:axId val="55840768"/>
        <c:axId val="55844224"/>
      </c:lineChart>
      <c:catAx>
        <c:axId val="546522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228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4655232"/>
        <c:crosses val="autoZero"/>
        <c:auto val="1"/>
        <c:lblAlgn val="ctr"/>
        <c:lblOffset val="100"/>
        <c:noMultiLvlLbl val="0"/>
      </c:catAx>
      <c:valAx>
        <c:axId val="54655232"/>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ln w="9525">
            <a:noFill/>
          </a:ln>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4652288"/>
        <c:crosses val="autoZero"/>
        <c:crossBetween val="between"/>
      </c:valAx>
      <c:catAx>
        <c:axId val="55840768"/>
        <c:scaling>
          <c:orientation val="minMax"/>
        </c:scaling>
        <c:delete val="1"/>
        <c:axPos val="b"/>
        <c:majorTickMark val="out"/>
        <c:minorTickMark val="none"/>
        <c:tickLblPos val="nextTo"/>
        <c:crossAx val="55844224"/>
        <c:crosses val="autoZero"/>
        <c:auto val="1"/>
        <c:lblAlgn val="ctr"/>
        <c:lblOffset val="100"/>
        <c:noMultiLvlLbl val="0"/>
      </c:catAx>
      <c:valAx>
        <c:axId val="55844224"/>
        <c:scaling>
          <c:orientation val="minMax"/>
          <c:max val="100"/>
        </c:scaling>
        <c:delete val="0"/>
        <c:axPos val="r"/>
        <c:numFmt formatCode="#,##0.0" sourceLinked="1"/>
        <c:majorTickMark val="out"/>
        <c:minorTickMark val="none"/>
        <c:tickLblPos val="nextTo"/>
        <c:spPr>
          <a:ln w="9525">
            <a:noFill/>
          </a:ln>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5840768"/>
        <c:crosses val="max"/>
        <c:crossBetween val="between"/>
      </c:valAx>
      <c:spPr>
        <a:noFill/>
        <a:ln w="25400">
          <a:noFill/>
        </a:ln>
      </c:spPr>
    </c:plotArea>
    <c:legend>
      <c:legendPos val="b"/>
      <c:layout/>
      <c:overlay val="0"/>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Defense vs Civilian Employment (1940-2014)</a:t>
            </a:r>
          </a:p>
          <a:p>
            <a:pPr>
              <a:defRPr sz="1400" b="0" i="0" u="none" strike="noStrike" kern="1200" spc="0" baseline="0">
                <a:solidFill>
                  <a:schemeClr val="tx1">
                    <a:lumMod val="65000"/>
                    <a:lumOff val="35000"/>
                  </a:schemeClr>
                </a:solidFill>
                <a:latin typeface="+mn-lt"/>
                <a:ea typeface="+mn-ea"/>
                <a:cs typeface="+mn-cs"/>
              </a:defRPr>
            </a:pPr>
            <a:r>
              <a:rPr lang="en-US"/>
              <a:t>(in thousands)</a:t>
            </a:r>
          </a:p>
        </c:rich>
      </c:tx>
      <c:layout/>
      <c:overlay val="0"/>
      <c:spPr>
        <a:noFill/>
        <a:ln>
          <a:noFill/>
        </a:ln>
        <a:effectLst/>
      </c:spPr>
    </c:title>
    <c:autoTitleDeleted val="0"/>
    <c:plotArea>
      <c:layout/>
      <c:lineChart>
        <c:grouping val="standard"/>
        <c:varyColors val="0"/>
        <c:ser>
          <c:idx val="0"/>
          <c:order val="0"/>
          <c:tx>
            <c:v>Defense</c:v>
          </c:tx>
          <c:spPr>
            <a:ln w="28575" cap="rnd">
              <a:solidFill>
                <a:schemeClr val="accent1"/>
              </a:solidFill>
              <a:round/>
            </a:ln>
            <a:effectLst/>
          </c:spPr>
          <c:marker>
            <c:symbol val="none"/>
          </c:marker>
          <c:cat>
            <c:numRef>
              <c:f>'[Defense v Civilian.xlsx]Sheet1'!$A$3:$A$77</c:f>
              <c:numCache>
                <c:formatCode>General</c:formatCode>
                <c:ptCount val="75"/>
                <c:pt idx="0">
                  <c:v>1940</c:v>
                </c:pt>
                <c:pt idx="1">
                  <c:v>1941</c:v>
                </c:pt>
                <c:pt idx="2">
                  <c:v>1942</c:v>
                </c:pt>
                <c:pt idx="3">
                  <c:v>1943</c:v>
                </c:pt>
                <c:pt idx="4">
                  <c:v>1944</c:v>
                </c:pt>
                <c:pt idx="5">
                  <c:v>1945</c:v>
                </c:pt>
                <c:pt idx="6">
                  <c:v>1946</c:v>
                </c:pt>
                <c:pt idx="7">
                  <c:v>1947</c:v>
                </c:pt>
                <c:pt idx="8">
                  <c:v>1948</c:v>
                </c:pt>
                <c:pt idx="9">
                  <c:v>1949</c:v>
                </c:pt>
                <c:pt idx="10">
                  <c:v>1950</c:v>
                </c:pt>
                <c:pt idx="11">
                  <c:v>1951</c:v>
                </c:pt>
                <c:pt idx="12">
                  <c:v>1952</c:v>
                </c:pt>
                <c:pt idx="13">
                  <c:v>1953</c:v>
                </c:pt>
                <c:pt idx="14">
                  <c:v>1954</c:v>
                </c:pt>
                <c:pt idx="15">
                  <c:v>1955</c:v>
                </c:pt>
                <c:pt idx="16">
                  <c:v>1956</c:v>
                </c:pt>
                <c:pt idx="17">
                  <c:v>1957</c:v>
                </c:pt>
                <c:pt idx="18">
                  <c:v>1958</c:v>
                </c:pt>
                <c:pt idx="19">
                  <c:v>1959</c:v>
                </c:pt>
                <c:pt idx="20">
                  <c:v>1960</c:v>
                </c:pt>
                <c:pt idx="21">
                  <c:v>1961</c:v>
                </c:pt>
                <c:pt idx="22">
                  <c:v>1962</c:v>
                </c:pt>
                <c:pt idx="23">
                  <c:v>1963</c:v>
                </c:pt>
                <c:pt idx="24">
                  <c:v>1964</c:v>
                </c:pt>
                <c:pt idx="25">
                  <c:v>1965</c:v>
                </c:pt>
                <c:pt idx="26">
                  <c:v>1966</c:v>
                </c:pt>
                <c:pt idx="27">
                  <c:v>1967</c:v>
                </c:pt>
                <c:pt idx="28">
                  <c:v>1968</c:v>
                </c:pt>
                <c:pt idx="29">
                  <c:v>1969</c:v>
                </c:pt>
                <c:pt idx="30">
                  <c:v>1970</c:v>
                </c:pt>
                <c:pt idx="31">
                  <c:v>1971</c:v>
                </c:pt>
                <c:pt idx="32">
                  <c:v>1972</c:v>
                </c:pt>
                <c:pt idx="33">
                  <c:v>1973</c:v>
                </c:pt>
                <c:pt idx="34">
                  <c:v>1974</c:v>
                </c:pt>
                <c:pt idx="35">
                  <c:v>1975</c:v>
                </c:pt>
                <c:pt idx="36">
                  <c:v>1976</c:v>
                </c:pt>
                <c:pt idx="37">
                  <c:v>1977</c:v>
                </c:pt>
                <c:pt idx="38">
                  <c:v>1978</c:v>
                </c:pt>
                <c:pt idx="39">
                  <c:v>1979</c:v>
                </c:pt>
                <c:pt idx="40">
                  <c:v>1980</c:v>
                </c:pt>
                <c:pt idx="41">
                  <c:v>1981</c:v>
                </c:pt>
                <c:pt idx="42">
                  <c:v>1982</c:v>
                </c:pt>
                <c:pt idx="43">
                  <c:v>1983</c:v>
                </c:pt>
                <c:pt idx="44">
                  <c:v>1984</c:v>
                </c:pt>
                <c:pt idx="45">
                  <c:v>1985</c:v>
                </c:pt>
                <c:pt idx="46">
                  <c:v>1986</c:v>
                </c:pt>
                <c:pt idx="47">
                  <c:v>1987</c:v>
                </c:pt>
                <c:pt idx="48">
                  <c:v>1988</c:v>
                </c:pt>
                <c:pt idx="49">
                  <c:v>1989</c:v>
                </c:pt>
                <c:pt idx="50">
                  <c:v>1990</c:v>
                </c:pt>
                <c:pt idx="51">
                  <c:v>1991</c:v>
                </c:pt>
                <c:pt idx="52">
                  <c:v>1992</c:v>
                </c:pt>
                <c:pt idx="53">
                  <c:v>1993</c:v>
                </c:pt>
                <c:pt idx="54">
                  <c:v>1994</c:v>
                </c:pt>
                <c:pt idx="55">
                  <c:v>1995</c:v>
                </c:pt>
                <c:pt idx="56">
                  <c:v>1996</c:v>
                </c:pt>
                <c:pt idx="57">
                  <c:v>1997</c:v>
                </c:pt>
                <c:pt idx="58">
                  <c:v>1998</c:v>
                </c:pt>
                <c:pt idx="59">
                  <c:v>1999</c:v>
                </c:pt>
                <c:pt idx="60">
                  <c:v>2000</c:v>
                </c:pt>
                <c:pt idx="61">
                  <c:v>2001</c:v>
                </c:pt>
                <c:pt idx="62">
                  <c:v>2002</c:v>
                </c:pt>
                <c:pt idx="63">
                  <c:v>2003</c:v>
                </c:pt>
                <c:pt idx="64">
                  <c:v>2004</c:v>
                </c:pt>
                <c:pt idx="65">
                  <c:v>2005</c:v>
                </c:pt>
                <c:pt idx="66">
                  <c:v>2006</c:v>
                </c:pt>
                <c:pt idx="67">
                  <c:v>2007</c:v>
                </c:pt>
                <c:pt idx="68">
                  <c:v>2008</c:v>
                </c:pt>
                <c:pt idx="69">
                  <c:v>2009</c:v>
                </c:pt>
                <c:pt idx="70">
                  <c:v>2010</c:v>
                </c:pt>
                <c:pt idx="71">
                  <c:v>2011</c:v>
                </c:pt>
                <c:pt idx="72">
                  <c:v>2012</c:v>
                </c:pt>
                <c:pt idx="73">
                  <c:v>2013</c:v>
                </c:pt>
                <c:pt idx="74">
                  <c:v>2014</c:v>
                </c:pt>
              </c:numCache>
            </c:numRef>
          </c:cat>
          <c:val>
            <c:numRef>
              <c:f>'[Defense v Civilian.xlsx]Sheet1'!$C$3:$C$77</c:f>
              <c:numCache>
                <c:formatCode>General</c:formatCode>
                <c:ptCount val="75"/>
                <c:pt idx="0">
                  <c:v>256</c:v>
                </c:pt>
                <c:pt idx="1">
                  <c:v>556</c:v>
                </c:pt>
                <c:pt idx="2" formatCode="#,##0">
                  <c:v>1291</c:v>
                </c:pt>
                <c:pt idx="3" formatCode="#,##0">
                  <c:v>2200</c:v>
                </c:pt>
                <c:pt idx="4" formatCode="#,##0">
                  <c:v>2246</c:v>
                </c:pt>
                <c:pt idx="5" formatCode="#,##0">
                  <c:v>2635</c:v>
                </c:pt>
                <c:pt idx="6" formatCode="#,##0">
                  <c:v>1416</c:v>
                </c:pt>
                <c:pt idx="7">
                  <c:v>859</c:v>
                </c:pt>
                <c:pt idx="8">
                  <c:v>871</c:v>
                </c:pt>
                <c:pt idx="9">
                  <c:v>880</c:v>
                </c:pt>
                <c:pt idx="10">
                  <c:v>753</c:v>
                </c:pt>
                <c:pt idx="11" formatCode="#,##0">
                  <c:v>1235</c:v>
                </c:pt>
                <c:pt idx="12" formatCode="#,##0">
                  <c:v>1337</c:v>
                </c:pt>
                <c:pt idx="13" formatCode="#,##0">
                  <c:v>1332</c:v>
                </c:pt>
                <c:pt idx="14" formatCode="#,##0">
                  <c:v>1209</c:v>
                </c:pt>
                <c:pt idx="15" formatCode="#,##0">
                  <c:v>1187</c:v>
                </c:pt>
                <c:pt idx="16" formatCode="#,##0">
                  <c:v>1180</c:v>
                </c:pt>
                <c:pt idx="17" formatCode="#,##0">
                  <c:v>1161</c:v>
                </c:pt>
                <c:pt idx="18" formatCode="#,##0">
                  <c:v>1097</c:v>
                </c:pt>
                <c:pt idx="19" formatCode="#,##0">
                  <c:v>1078</c:v>
                </c:pt>
                <c:pt idx="20" formatCode="#,##0">
                  <c:v>1047</c:v>
                </c:pt>
                <c:pt idx="21" formatCode="#,##0">
                  <c:v>1042</c:v>
                </c:pt>
                <c:pt idx="22" formatCode="#,##0">
                  <c:v>1070</c:v>
                </c:pt>
                <c:pt idx="23" formatCode="#,##0">
                  <c:v>1050</c:v>
                </c:pt>
                <c:pt idx="24" formatCode="#,##0">
                  <c:v>1030</c:v>
                </c:pt>
                <c:pt idx="25" formatCode="#,##0">
                  <c:v>1034</c:v>
                </c:pt>
                <c:pt idx="26" formatCode="#,##0">
                  <c:v>1138</c:v>
                </c:pt>
                <c:pt idx="27" formatCode="#,##0">
                  <c:v>1303</c:v>
                </c:pt>
                <c:pt idx="28" formatCode="#,##0">
                  <c:v>1317</c:v>
                </c:pt>
                <c:pt idx="29" formatCode="#,##0">
                  <c:v>1342</c:v>
                </c:pt>
                <c:pt idx="30" formatCode="#,##0">
                  <c:v>1219</c:v>
                </c:pt>
                <c:pt idx="31" formatCode="#,##0">
                  <c:v>1154</c:v>
                </c:pt>
                <c:pt idx="32" formatCode="#,##0">
                  <c:v>1108</c:v>
                </c:pt>
                <c:pt idx="33" formatCode="#,##0">
                  <c:v>1053</c:v>
                </c:pt>
                <c:pt idx="34" formatCode="#,##0">
                  <c:v>1070</c:v>
                </c:pt>
                <c:pt idx="35" formatCode="#,##0">
                  <c:v>1042</c:v>
                </c:pt>
                <c:pt idx="36" formatCode="#,##0">
                  <c:v>1010</c:v>
                </c:pt>
                <c:pt idx="37" formatCode="#,##0">
                  <c:v>1009</c:v>
                </c:pt>
                <c:pt idx="38" formatCode="#,##0">
                  <c:v>1000</c:v>
                </c:pt>
                <c:pt idx="39">
                  <c:v>960</c:v>
                </c:pt>
                <c:pt idx="40">
                  <c:v>960</c:v>
                </c:pt>
                <c:pt idx="41">
                  <c:v>984</c:v>
                </c:pt>
                <c:pt idx="42">
                  <c:v>990</c:v>
                </c:pt>
                <c:pt idx="43" formatCode="#,##0">
                  <c:v>1026</c:v>
                </c:pt>
                <c:pt idx="44" formatCode="#,##0">
                  <c:v>1044</c:v>
                </c:pt>
                <c:pt idx="45" formatCode="#,##0">
                  <c:v>1107</c:v>
                </c:pt>
                <c:pt idx="46" formatCode="#,##0">
                  <c:v>1068</c:v>
                </c:pt>
                <c:pt idx="47" formatCode="#,##0">
                  <c:v>1090</c:v>
                </c:pt>
                <c:pt idx="48" formatCode="#,##0">
                  <c:v>1050</c:v>
                </c:pt>
                <c:pt idx="49" formatCode="#,##0">
                  <c:v>1075</c:v>
                </c:pt>
                <c:pt idx="50" formatCode="#,##0">
                  <c:v>1034</c:v>
                </c:pt>
                <c:pt idx="51" formatCode="#,##0">
                  <c:v>1013</c:v>
                </c:pt>
                <c:pt idx="52">
                  <c:v>952</c:v>
                </c:pt>
                <c:pt idx="53">
                  <c:v>891</c:v>
                </c:pt>
                <c:pt idx="54">
                  <c:v>850</c:v>
                </c:pt>
                <c:pt idx="55">
                  <c:v>802</c:v>
                </c:pt>
                <c:pt idx="56">
                  <c:v>768</c:v>
                </c:pt>
                <c:pt idx="57">
                  <c:v>723</c:v>
                </c:pt>
                <c:pt idx="58">
                  <c:v>693</c:v>
                </c:pt>
                <c:pt idx="59">
                  <c:v>666</c:v>
                </c:pt>
                <c:pt idx="60">
                  <c:v>651</c:v>
                </c:pt>
                <c:pt idx="61">
                  <c:v>647</c:v>
                </c:pt>
                <c:pt idx="62">
                  <c:v>645</c:v>
                </c:pt>
                <c:pt idx="63">
                  <c:v>636</c:v>
                </c:pt>
                <c:pt idx="64">
                  <c:v>644</c:v>
                </c:pt>
                <c:pt idx="65">
                  <c:v>649</c:v>
                </c:pt>
                <c:pt idx="66">
                  <c:v>653</c:v>
                </c:pt>
                <c:pt idx="67">
                  <c:v>651</c:v>
                </c:pt>
                <c:pt idx="68">
                  <c:v>670</c:v>
                </c:pt>
                <c:pt idx="69">
                  <c:v>737</c:v>
                </c:pt>
                <c:pt idx="70">
                  <c:v>773</c:v>
                </c:pt>
                <c:pt idx="71">
                  <c:v>774</c:v>
                </c:pt>
                <c:pt idx="72">
                  <c:v>730</c:v>
                </c:pt>
                <c:pt idx="73">
                  <c:v>729</c:v>
                </c:pt>
                <c:pt idx="74">
                  <c:v>723</c:v>
                </c:pt>
              </c:numCache>
            </c:numRef>
          </c:val>
          <c:smooth val="0"/>
        </c:ser>
        <c:ser>
          <c:idx val="1"/>
          <c:order val="1"/>
          <c:tx>
            <c:v>Civilian</c:v>
          </c:tx>
          <c:spPr>
            <a:ln w="28575" cap="rnd">
              <a:solidFill>
                <a:schemeClr val="accent2"/>
              </a:solidFill>
              <a:round/>
            </a:ln>
            <a:effectLst/>
          </c:spPr>
          <c:marker>
            <c:symbol val="none"/>
          </c:marker>
          <c:cat>
            <c:numRef>
              <c:f>'[Defense v Civilian.xlsx]Sheet1'!$A$3:$A$77</c:f>
              <c:numCache>
                <c:formatCode>General</c:formatCode>
                <c:ptCount val="75"/>
                <c:pt idx="0">
                  <c:v>1940</c:v>
                </c:pt>
                <c:pt idx="1">
                  <c:v>1941</c:v>
                </c:pt>
                <c:pt idx="2">
                  <c:v>1942</c:v>
                </c:pt>
                <c:pt idx="3">
                  <c:v>1943</c:v>
                </c:pt>
                <c:pt idx="4">
                  <c:v>1944</c:v>
                </c:pt>
                <c:pt idx="5">
                  <c:v>1945</c:v>
                </c:pt>
                <c:pt idx="6">
                  <c:v>1946</c:v>
                </c:pt>
                <c:pt idx="7">
                  <c:v>1947</c:v>
                </c:pt>
                <c:pt idx="8">
                  <c:v>1948</c:v>
                </c:pt>
                <c:pt idx="9">
                  <c:v>1949</c:v>
                </c:pt>
                <c:pt idx="10">
                  <c:v>1950</c:v>
                </c:pt>
                <c:pt idx="11">
                  <c:v>1951</c:v>
                </c:pt>
                <c:pt idx="12">
                  <c:v>1952</c:v>
                </c:pt>
                <c:pt idx="13">
                  <c:v>1953</c:v>
                </c:pt>
                <c:pt idx="14">
                  <c:v>1954</c:v>
                </c:pt>
                <c:pt idx="15">
                  <c:v>1955</c:v>
                </c:pt>
                <c:pt idx="16">
                  <c:v>1956</c:v>
                </c:pt>
                <c:pt idx="17">
                  <c:v>1957</c:v>
                </c:pt>
                <c:pt idx="18">
                  <c:v>1958</c:v>
                </c:pt>
                <c:pt idx="19">
                  <c:v>1959</c:v>
                </c:pt>
                <c:pt idx="20">
                  <c:v>1960</c:v>
                </c:pt>
                <c:pt idx="21">
                  <c:v>1961</c:v>
                </c:pt>
                <c:pt idx="22">
                  <c:v>1962</c:v>
                </c:pt>
                <c:pt idx="23">
                  <c:v>1963</c:v>
                </c:pt>
                <c:pt idx="24">
                  <c:v>1964</c:v>
                </c:pt>
                <c:pt idx="25">
                  <c:v>1965</c:v>
                </c:pt>
                <c:pt idx="26">
                  <c:v>1966</c:v>
                </c:pt>
                <c:pt idx="27">
                  <c:v>1967</c:v>
                </c:pt>
                <c:pt idx="28">
                  <c:v>1968</c:v>
                </c:pt>
                <c:pt idx="29">
                  <c:v>1969</c:v>
                </c:pt>
                <c:pt idx="30">
                  <c:v>1970</c:v>
                </c:pt>
                <c:pt idx="31">
                  <c:v>1971</c:v>
                </c:pt>
                <c:pt idx="32">
                  <c:v>1972</c:v>
                </c:pt>
                <c:pt idx="33">
                  <c:v>1973</c:v>
                </c:pt>
                <c:pt idx="34">
                  <c:v>1974</c:v>
                </c:pt>
                <c:pt idx="35">
                  <c:v>1975</c:v>
                </c:pt>
                <c:pt idx="36">
                  <c:v>1976</c:v>
                </c:pt>
                <c:pt idx="37">
                  <c:v>1977</c:v>
                </c:pt>
                <c:pt idx="38">
                  <c:v>1978</c:v>
                </c:pt>
                <c:pt idx="39">
                  <c:v>1979</c:v>
                </c:pt>
                <c:pt idx="40">
                  <c:v>1980</c:v>
                </c:pt>
                <c:pt idx="41">
                  <c:v>1981</c:v>
                </c:pt>
                <c:pt idx="42">
                  <c:v>1982</c:v>
                </c:pt>
                <c:pt idx="43">
                  <c:v>1983</c:v>
                </c:pt>
                <c:pt idx="44">
                  <c:v>1984</c:v>
                </c:pt>
                <c:pt idx="45">
                  <c:v>1985</c:v>
                </c:pt>
                <c:pt idx="46">
                  <c:v>1986</c:v>
                </c:pt>
                <c:pt idx="47">
                  <c:v>1987</c:v>
                </c:pt>
                <c:pt idx="48">
                  <c:v>1988</c:v>
                </c:pt>
                <c:pt idx="49">
                  <c:v>1989</c:v>
                </c:pt>
                <c:pt idx="50">
                  <c:v>1990</c:v>
                </c:pt>
                <c:pt idx="51">
                  <c:v>1991</c:v>
                </c:pt>
                <c:pt idx="52">
                  <c:v>1992</c:v>
                </c:pt>
                <c:pt idx="53">
                  <c:v>1993</c:v>
                </c:pt>
                <c:pt idx="54">
                  <c:v>1994</c:v>
                </c:pt>
                <c:pt idx="55">
                  <c:v>1995</c:v>
                </c:pt>
                <c:pt idx="56">
                  <c:v>1996</c:v>
                </c:pt>
                <c:pt idx="57">
                  <c:v>1997</c:v>
                </c:pt>
                <c:pt idx="58">
                  <c:v>1998</c:v>
                </c:pt>
                <c:pt idx="59">
                  <c:v>1999</c:v>
                </c:pt>
                <c:pt idx="60">
                  <c:v>2000</c:v>
                </c:pt>
                <c:pt idx="61">
                  <c:v>2001</c:v>
                </c:pt>
                <c:pt idx="62">
                  <c:v>2002</c:v>
                </c:pt>
                <c:pt idx="63">
                  <c:v>2003</c:v>
                </c:pt>
                <c:pt idx="64">
                  <c:v>2004</c:v>
                </c:pt>
                <c:pt idx="65">
                  <c:v>2005</c:v>
                </c:pt>
                <c:pt idx="66">
                  <c:v>2006</c:v>
                </c:pt>
                <c:pt idx="67">
                  <c:v>2007</c:v>
                </c:pt>
                <c:pt idx="68">
                  <c:v>2008</c:v>
                </c:pt>
                <c:pt idx="69">
                  <c:v>2009</c:v>
                </c:pt>
                <c:pt idx="70">
                  <c:v>2010</c:v>
                </c:pt>
                <c:pt idx="71">
                  <c:v>2011</c:v>
                </c:pt>
                <c:pt idx="72">
                  <c:v>2012</c:v>
                </c:pt>
                <c:pt idx="73">
                  <c:v>2013</c:v>
                </c:pt>
                <c:pt idx="74">
                  <c:v>2014</c:v>
                </c:pt>
              </c:numCache>
            </c:numRef>
          </c:cat>
          <c:val>
            <c:numRef>
              <c:f>'[Defense v Civilian.xlsx]Sheet1'!$D$3:$D$77</c:f>
              <c:numCache>
                <c:formatCode>General</c:formatCode>
                <c:ptCount val="75"/>
                <c:pt idx="0">
                  <c:v>443</c:v>
                </c:pt>
                <c:pt idx="1">
                  <c:v>525</c:v>
                </c:pt>
                <c:pt idx="2">
                  <c:v>643</c:v>
                </c:pt>
                <c:pt idx="3">
                  <c:v>735</c:v>
                </c:pt>
                <c:pt idx="4">
                  <c:v>683</c:v>
                </c:pt>
                <c:pt idx="5">
                  <c:v>736</c:v>
                </c:pt>
                <c:pt idx="6">
                  <c:v>795</c:v>
                </c:pt>
                <c:pt idx="7">
                  <c:v>777</c:v>
                </c:pt>
                <c:pt idx="8">
                  <c:v>698</c:v>
                </c:pt>
                <c:pt idx="9">
                  <c:v>694</c:v>
                </c:pt>
                <c:pt idx="10">
                  <c:v>686</c:v>
                </c:pt>
                <c:pt idx="11">
                  <c:v>738</c:v>
                </c:pt>
                <c:pt idx="12">
                  <c:v>729</c:v>
                </c:pt>
                <c:pt idx="13">
                  <c:v>694</c:v>
                </c:pt>
                <c:pt idx="14">
                  <c:v>666</c:v>
                </c:pt>
                <c:pt idx="15">
                  <c:v>673</c:v>
                </c:pt>
                <c:pt idx="16">
                  <c:v>684</c:v>
                </c:pt>
                <c:pt idx="17">
                  <c:v>708</c:v>
                </c:pt>
                <c:pt idx="18">
                  <c:v>720</c:v>
                </c:pt>
                <c:pt idx="19">
                  <c:v>727</c:v>
                </c:pt>
                <c:pt idx="20">
                  <c:v>761</c:v>
                </c:pt>
                <c:pt idx="21">
                  <c:v>782</c:v>
                </c:pt>
                <c:pt idx="22">
                  <c:v>827</c:v>
                </c:pt>
                <c:pt idx="23">
                  <c:v>861</c:v>
                </c:pt>
                <c:pt idx="24">
                  <c:v>855</c:v>
                </c:pt>
                <c:pt idx="25">
                  <c:v>867</c:v>
                </c:pt>
                <c:pt idx="26">
                  <c:v>913</c:v>
                </c:pt>
                <c:pt idx="27">
                  <c:v>949</c:v>
                </c:pt>
                <c:pt idx="28">
                  <c:v>972</c:v>
                </c:pt>
                <c:pt idx="29">
                  <c:v>960</c:v>
                </c:pt>
                <c:pt idx="30">
                  <c:v>983</c:v>
                </c:pt>
                <c:pt idx="31">
                  <c:v>989</c:v>
                </c:pt>
                <c:pt idx="32" formatCode="#,##0">
                  <c:v>1009</c:v>
                </c:pt>
                <c:pt idx="33" formatCode="#,##0">
                  <c:v>1030</c:v>
                </c:pt>
                <c:pt idx="34" formatCode="#,##0">
                  <c:v>1070</c:v>
                </c:pt>
                <c:pt idx="35" formatCode="#,##0">
                  <c:v>1107</c:v>
                </c:pt>
                <c:pt idx="36" formatCode="#,##0">
                  <c:v>1147</c:v>
                </c:pt>
                <c:pt idx="37" formatCode="#,##0">
                  <c:v>1173</c:v>
                </c:pt>
                <c:pt idx="38" formatCode="#,##0">
                  <c:v>1225</c:v>
                </c:pt>
                <c:pt idx="39" formatCode="#,##0">
                  <c:v>1201</c:v>
                </c:pt>
                <c:pt idx="40" formatCode="#,##0">
                  <c:v>1201</c:v>
                </c:pt>
                <c:pt idx="41" formatCode="#,##0">
                  <c:v>1159</c:v>
                </c:pt>
                <c:pt idx="42" formatCode="#,##0">
                  <c:v>1121</c:v>
                </c:pt>
                <c:pt idx="43" formatCode="#,##0">
                  <c:v>1131</c:v>
                </c:pt>
                <c:pt idx="44" formatCode="#,##0">
                  <c:v>1127</c:v>
                </c:pt>
                <c:pt idx="45" formatCode="#,##0">
                  <c:v>1145</c:v>
                </c:pt>
                <c:pt idx="46" formatCode="#,##0">
                  <c:v>1108</c:v>
                </c:pt>
                <c:pt idx="47" formatCode="#,##0">
                  <c:v>1142</c:v>
                </c:pt>
                <c:pt idx="48" formatCode="#,##0">
                  <c:v>1172</c:v>
                </c:pt>
                <c:pt idx="49" formatCode="#,##0">
                  <c:v>1162</c:v>
                </c:pt>
                <c:pt idx="50" formatCode="#,##0">
                  <c:v>1216</c:v>
                </c:pt>
                <c:pt idx="51" formatCode="#,##0">
                  <c:v>1230</c:v>
                </c:pt>
                <c:pt idx="52" formatCode="#,##0">
                  <c:v>1274</c:v>
                </c:pt>
                <c:pt idx="53" formatCode="#,##0">
                  <c:v>1266</c:v>
                </c:pt>
                <c:pt idx="54" formatCode="#,##0">
                  <c:v>1235</c:v>
                </c:pt>
                <c:pt idx="55" formatCode="#,##0">
                  <c:v>1210</c:v>
                </c:pt>
                <c:pt idx="56" formatCode="#,##0">
                  <c:v>1166</c:v>
                </c:pt>
                <c:pt idx="57" formatCode="#,##0">
                  <c:v>1149</c:v>
                </c:pt>
                <c:pt idx="58" formatCode="#,##0">
                  <c:v>1163</c:v>
                </c:pt>
                <c:pt idx="59" formatCode="#,##0">
                  <c:v>1155</c:v>
                </c:pt>
                <c:pt idx="60" formatCode="#,##0">
                  <c:v>1127</c:v>
                </c:pt>
                <c:pt idx="61" formatCode="#,##0">
                  <c:v>1145</c:v>
                </c:pt>
                <c:pt idx="62" formatCode="#,##0">
                  <c:v>1173</c:v>
                </c:pt>
                <c:pt idx="63" formatCode="#,##0">
                  <c:v>1231</c:v>
                </c:pt>
                <c:pt idx="64" formatCode="#,##0">
                  <c:v>1238</c:v>
                </c:pt>
                <c:pt idx="65" formatCode="#,##0">
                  <c:v>1224</c:v>
                </c:pt>
                <c:pt idx="66" formatCode="#,##0">
                  <c:v>1227</c:v>
                </c:pt>
                <c:pt idx="67" formatCode="#,##0">
                  <c:v>1237</c:v>
                </c:pt>
                <c:pt idx="68" formatCode="#,##0">
                  <c:v>1289</c:v>
                </c:pt>
                <c:pt idx="69" formatCode="#,##0">
                  <c:v>1357</c:v>
                </c:pt>
                <c:pt idx="70" formatCode="#,##0">
                  <c:v>1360</c:v>
                </c:pt>
                <c:pt idx="71" formatCode="#,##0">
                  <c:v>1372</c:v>
                </c:pt>
                <c:pt idx="72" formatCode="#,##0">
                  <c:v>1374</c:v>
                </c:pt>
                <c:pt idx="73" formatCode="#,##0">
                  <c:v>1355</c:v>
                </c:pt>
                <c:pt idx="74" formatCode="#,##0">
                  <c:v>1356</c:v>
                </c:pt>
              </c:numCache>
            </c:numRef>
          </c:val>
          <c:smooth val="0"/>
        </c:ser>
        <c:ser>
          <c:idx val="2"/>
          <c:order val="2"/>
          <c:tx>
            <c:v>Total</c:v>
          </c:tx>
          <c:spPr>
            <a:ln w="28575" cap="rnd">
              <a:solidFill>
                <a:schemeClr val="accent6">
                  <a:lumMod val="75000"/>
                </a:schemeClr>
              </a:solidFill>
              <a:round/>
            </a:ln>
            <a:effectLst/>
          </c:spPr>
          <c:marker>
            <c:symbol val="none"/>
          </c:marker>
          <c:val>
            <c:numRef>
              <c:f>'[Defense v Civilian.xlsx]Sheet1'!$B$3:$B$77</c:f>
              <c:numCache>
                <c:formatCode>#,##0</c:formatCode>
                <c:ptCount val="75"/>
                <c:pt idx="0" formatCode="General">
                  <c:v>699</c:v>
                </c:pt>
                <c:pt idx="1">
                  <c:v>1081</c:v>
                </c:pt>
                <c:pt idx="2">
                  <c:v>1934</c:v>
                </c:pt>
                <c:pt idx="3">
                  <c:v>2935</c:v>
                </c:pt>
                <c:pt idx="4">
                  <c:v>2930</c:v>
                </c:pt>
                <c:pt idx="5">
                  <c:v>3370</c:v>
                </c:pt>
                <c:pt idx="6">
                  <c:v>2212</c:v>
                </c:pt>
                <c:pt idx="7">
                  <c:v>1637</c:v>
                </c:pt>
                <c:pt idx="8">
                  <c:v>1569</c:v>
                </c:pt>
                <c:pt idx="9">
                  <c:v>1573</c:v>
                </c:pt>
                <c:pt idx="10">
                  <c:v>1439</c:v>
                </c:pt>
                <c:pt idx="11">
                  <c:v>1974</c:v>
                </c:pt>
                <c:pt idx="12">
                  <c:v>2066</c:v>
                </c:pt>
                <c:pt idx="13">
                  <c:v>2026</c:v>
                </c:pt>
                <c:pt idx="14">
                  <c:v>1875</c:v>
                </c:pt>
                <c:pt idx="15">
                  <c:v>1860</c:v>
                </c:pt>
                <c:pt idx="16">
                  <c:v>1864</c:v>
                </c:pt>
                <c:pt idx="17">
                  <c:v>1869</c:v>
                </c:pt>
                <c:pt idx="18">
                  <c:v>1817</c:v>
                </c:pt>
                <c:pt idx="19">
                  <c:v>1805</c:v>
                </c:pt>
                <c:pt idx="20">
                  <c:v>1808</c:v>
                </c:pt>
                <c:pt idx="21">
                  <c:v>1825</c:v>
                </c:pt>
                <c:pt idx="22">
                  <c:v>1896</c:v>
                </c:pt>
                <c:pt idx="23">
                  <c:v>1911</c:v>
                </c:pt>
                <c:pt idx="24">
                  <c:v>1884</c:v>
                </c:pt>
                <c:pt idx="25">
                  <c:v>1901</c:v>
                </c:pt>
                <c:pt idx="26">
                  <c:v>2051</c:v>
                </c:pt>
                <c:pt idx="27">
                  <c:v>2251</c:v>
                </c:pt>
                <c:pt idx="28">
                  <c:v>2289</c:v>
                </c:pt>
                <c:pt idx="29">
                  <c:v>2301</c:v>
                </c:pt>
                <c:pt idx="30">
                  <c:v>2203</c:v>
                </c:pt>
                <c:pt idx="31">
                  <c:v>2144</c:v>
                </c:pt>
                <c:pt idx="32">
                  <c:v>2117</c:v>
                </c:pt>
                <c:pt idx="33">
                  <c:v>2083</c:v>
                </c:pt>
                <c:pt idx="34">
                  <c:v>2140</c:v>
                </c:pt>
                <c:pt idx="35">
                  <c:v>2149</c:v>
                </c:pt>
                <c:pt idx="36">
                  <c:v>2157</c:v>
                </c:pt>
                <c:pt idx="37">
                  <c:v>2182</c:v>
                </c:pt>
                <c:pt idx="38">
                  <c:v>2224</c:v>
                </c:pt>
                <c:pt idx="39">
                  <c:v>2161</c:v>
                </c:pt>
                <c:pt idx="40">
                  <c:v>2161</c:v>
                </c:pt>
                <c:pt idx="41">
                  <c:v>2143</c:v>
                </c:pt>
                <c:pt idx="42">
                  <c:v>2110</c:v>
                </c:pt>
                <c:pt idx="43">
                  <c:v>2157</c:v>
                </c:pt>
                <c:pt idx="44">
                  <c:v>2171</c:v>
                </c:pt>
                <c:pt idx="45">
                  <c:v>2252</c:v>
                </c:pt>
                <c:pt idx="46">
                  <c:v>2175</c:v>
                </c:pt>
                <c:pt idx="47">
                  <c:v>2232</c:v>
                </c:pt>
                <c:pt idx="48">
                  <c:v>2222</c:v>
                </c:pt>
                <c:pt idx="49">
                  <c:v>2238</c:v>
                </c:pt>
                <c:pt idx="50">
                  <c:v>2250</c:v>
                </c:pt>
                <c:pt idx="51">
                  <c:v>2243</c:v>
                </c:pt>
                <c:pt idx="52">
                  <c:v>2225</c:v>
                </c:pt>
                <c:pt idx="53">
                  <c:v>2157</c:v>
                </c:pt>
                <c:pt idx="54">
                  <c:v>2085</c:v>
                </c:pt>
                <c:pt idx="55">
                  <c:v>2012</c:v>
                </c:pt>
                <c:pt idx="56">
                  <c:v>1934</c:v>
                </c:pt>
                <c:pt idx="57">
                  <c:v>1872</c:v>
                </c:pt>
                <c:pt idx="58">
                  <c:v>1856</c:v>
                </c:pt>
                <c:pt idx="59">
                  <c:v>1820</c:v>
                </c:pt>
                <c:pt idx="60">
                  <c:v>1778</c:v>
                </c:pt>
                <c:pt idx="61">
                  <c:v>1792</c:v>
                </c:pt>
                <c:pt idx="62">
                  <c:v>1818</c:v>
                </c:pt>
                <c:pt idx="63">
                  <c:v>1867</c:v>
                </c:pt>
                <c:pt idx="64">
                  <c:v>1882</c:v>
                </c:pt>
                <c:pt idx="65">
                  <c:v>1872</c:v>
                </c:pt>
                <c:pt idx="66">
                  <c:v>1880</c:v>
                </c:pt>
                <c:pt idx="67">
                  <c:v>1888</c:v>
                </c:pt>
                <c:pt idx="68">
                  <c:v>1960</c:v>
                </c:pt>
                <c:pt idx="69">
                  <c:v>2094</c:v>
                </c:pt>
                <c:pt idx="70">
                  <c:v>2133</c:v>
                </c:pt>
                <c:pt idx="71">
                  <c:v>2146</c:v>
                </c:pt>
                <c:pt idx="72">
                  <c:v>2104</c:v>
                </c:pt>
                <c:pt idx="73">
                  <c:v>2087</c:v>
                </c:pt>
                <c:pt idx="74">
                  <c:v>2079</c:v>
                </c:pt>
              </c:numCache>
            </c:numRef>
          </c:val>
          <c:smooth val="0"/>
        </c:ser>
        <c:dLbls>
          <c:showLegendKey val="0"/>
          <c:showVal val="0"/>
          <c:showCatName val="0"/>
          <c:showSerName val="0"/>
          <c:showPercent val="0"/>
          <c:showBubbleSize val="0"/>
        </c:dLbls>
        <c:marker val="1"/>
        <c:smooth val="0"/>
        <c:axId val="56243712"/>
        <c:axId val="54521856"/>
      </c:lineChart>
      <c:catAx>
        <c:axId val="56243712"/>
        <c:scaling>
          <c:orientation val="minMax"/>
        </c:scaling>
        <c:delete val="0"/>
        <c:axPos val="b"/>
        <c:minorGridlines>
          <c:spPr>
            <a:ln w="9525" cap="flat" cmpd="sng" algn="ctr">
              <a:no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228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4521856"/>
        <c:crosses val="autoZero"/>
        <c:auto val="1"/>
        <c:lblAlgn val="ctr"/>
        <c:lblOffset val="100"/>
        <c:noMultiLvlLbl val="0"/>
      </c:catAx>
      <c:valAx>
        <c:axId val="54521856"/>
        <c:scaling>
          <c:orientation val="minMax"/>
          <c:max val="350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6243712"/>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49</TotalTime>
  <Pages>5</Pages>
  <Words>993</Words>
  <Characters>5666</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MyBuild</dc:creator>
  <cp:keywords/>
  <dc:description/>
  <cp:lastModifiedBy>ahughes</cp:lastModifiedBy>
  <cp:revision>5</cp:revision>
  <dcterms:created xsi:type="dcterms:W3CDTF">2015-05-20T18:56:00Z</dcterms:created>
  <dcterms:modified xsi:type="dcterms:W3CDTF">2015-07-16T20:17:00Z</dcterms:modified>
</cp:coreProperties>
</file>